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spacing w:lineRule="auto" w:line="360"/>
        <w:jc w:val="center"/>
        <w:rPr>
          <w:b/>
          <w:b/>
          <w:bCs/>
          <w:iCs/>
          <w:sz w:val="32"/>
          <w:szCs w:val="32"/>
        </w:rPr>
      </w:pPr>
      <w:r>
        <w:rPr>
          <w:b/>
          <w:sz w:val="32"/>
          <w:szCs w:val="32"/>
        </w:rPr>
        <w:t xml:space="preserve">SPECYFIKACJA TECHNICZNA WYKONANIA </w:t>
        <w:br/>
        <w:t>I ODBIORU ROBÓT BUDOWLANYCH</w:t>
      </w:r>
    </w:p>
    <w:p>
      <w:pPr>
        <w:pStyle w:val="Normal"/>
        <w:suppressAutoHyphens w:val="true"/>
        <w:spacing w:lineRule="auto" w:line="276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Normal"/>
        <w:suppressAutoHyphens w:val="true"/>
        <w:jc w:val="center"/>
        <w:rPr>
          <w:b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</w:r>
    </w:p>
    <w:p>
      <w:pPr>
        <w:pStyle w:val="Normal"/>
        <w:suppressAutoHyphens w:val="true"/>
        <w:jc w:val="center"/>
        <w:rPr>
          <w:b/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</w:r>
    </w:p>
    <w:p>
      <w:pPr>
        <w:pStyle w:val="PKT0"/>
        <w:ind w:hanging="0"/>
        <w:jc w:val="center"/>
        <w:rPr>
          <w:sz w:val="28"/>
        </w:rPr>
      </w:pPr>
      <w:r>
        <w:rPr>
          <w:sz w:val="28"/>
        </w:rPr>
        <w:t>D.04.07.01.</w:t>
      </w:r>
    </w:p>
    <w:p>
      <w:pPr>
        <w:pStyle w:val="PKT0"/>
        <w:ind w:hanging="0"/>
        <w:jc w:val="center"/>
        <w:rPr>
          <w:caps/>
          <w:sz w:val="28"/>
        </w:rPr>
      </w:pPr>
      <w:r>
        <w:rPr>
          <w:caps/>
          <w:sz w:val="28"/>
        </w:rPr>
        <w:t>nawierzchnia z betonu asfaltowego warstwa podbudowy</w:t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PKT0"/>
        <w:ind w:hanging="0"/>
        <w:jc w:val="center"/>
        <w:rPr>
          <w:caps/>
        </w:rPr>
      </w:pPr>
      <w:r>
        <w:rPr>
          <w:caps/>
        </w:rPr>
      </w:r>
    </w:p>
    <w:p>
      <w:pPr>
        <w:pStyle w:val="Normal"/>
        <w:rPr>
          <w:b/>
          <w:b/>
          <w:i/>
          <w:i/>
          <w:iCs/>
        </w:rPr>
      </w:pPr>
      <w:r>
        <w:rPr>
          <w:b/>
          <w:i/>
          <w:iCs/>
        </w:rPr>
      </w:r>
    </w:p>
    <w:p>
      <w:pPr>
        <w:pStyle w:val="Normal"/>
        <w:rPr>
          <w:iCs/>
        </w:rPr>
      </w:pPr>
      <w:r>
        <w:rPr>
          <w:iCs/>
        </w:rPr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 xml:space="preserve">  </w:t>
      </w:r>
      <w:r>
        <w:rPr/>
        <w:t>WSTĘP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Przedmiot STWiORB</w:t>
      </w:r>
    </w:p>
    <w:p>
      <w:pPr>
        <w:pStyle w:val="Normal"/>
        <w:jc w:val="both"/>
        <w:rPr/>
      </w:pPr>
      <w:r>
        <w:rPr/>
        <w:t xml:space="preserve">Przedmiotem niniejszej Specyfikacji Technicznej Wykonania i Odbioru Robót Budowlanych są wymagania dotyczące </w:t>
      </w:r>
      <w:bookmarkStart w:id="0" w:name="_Hlk487017742"/>
      <w:r>
        <w:rPr/>
        <w:t>wykonania i odbioru robót warstwy podbudowy z betonu asfaltowego</w:t>
      </w:r>
      <w:bookmarkEnd w:id="0"/>
      <w:r>
        <w:rPr/>
        <w:t xml:space="preserve"> AC 22P, dla </w:t>
      </w:r>
      <w:r>
        <w:rPr/>
        <w:t>przebudowy</w:t>
      </w:r>
      <w:r>
        <w:rPr>
          <w:rFonts w:eastAsia="Times New Roman" w:cs="Times New Roman"/>
          <w:color w:val="auto"/>
          <w:sz w:val="20"/>
          <w:szCs w:val="20"/>
          <w:lang w:val="pl-PL" w:eastAsia="zh-CN" w:bidi="ar-SA"/>
        </w:rPr>
        <w:t xml:space="preserve"> </w:t>
      </w:r>
      <w:r>
        <w:rPr>
          <w:rFonts w:eastAsia="Times New Roman" w:cs="Times New Roman"/>
          <w:color w:val="auto"/>
          <w:sz w:val="20"/>
          <w:szCs w:val="20"/>
          <w:lang w:val="pl-PL" w:eastAsia="zh-CN" w:bidi="ar-SA"/>
        </w:rPr>
        <w:t>drogi – ul. Kniaziewicza</w:t>
      </w:r>
      <w:r>
        <w:rPr/>
        <w:t xml:space="preserve"> w Myślenicach.</w:t>
      </w:r>
      <w:r>
        <w:rPr/>
        <w:t>.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 xml:space="preserve">1.2 </w:t>
        <w:tab/>
        <w:t>Zakres stosowania STWiORB</w:t>
      </w:r>
    </w:p>
    <w:p>
      <w:pPr>
        <w:pStyle w:val="Normal"/>
        <w:jc w:val="both"/>
        <w:rPr/>
      </w:pPr>
      <w:r>
        <w:rPr/>
        <w:t>STWiORB jest stosowana jako dokument kontraktowy przy realizacji robót wymienionych w pkt.1.1.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1.3</w:t>
        <w:tab/>
        <w:t>Zakres robót objętych STWiORB</w:t>
      </w:r>
    </w:p>
    <w:p>
      <w:pPr>
        <w:pStyle w:val="Normal"/>
        <w:jc w:val="both"/>
        <w:rPr/>
      </w:pPr>
      <w:r>
        <w:rPr/>
        <w:t>Ustalenia zawarte w niniejszej STWiORB dotyczą zasad prowadzenia Robót związanych z wykonaniem warstwy nawierzchni lub podbudowy z betonu asfaltowego zgodnie z Dokumentacją Projektową.</w:t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>MATERIAŁY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Ogólne wymagania dotyczące materiałów</w:t>
      </w:r>
    </w:p>
    <w:p>
      <w:pPr>
        <w:pStyle w:val="Normal"/>
        <w:jc w:val="both"/>
        <w:rPr/>
      </w:pPr>
      <w:r>
        <w:rPr/>
        <w:t>Ogólne wymagania dotyczące materiałów, ich pozyskiwania i składowania podano w STWiORB</w:t>
        <w:br/>
        <w:t>D-M.00.00.00. „Wymagania ogólne” pkt. 2.</w:t>
      </w:r>
    </w:p>
    <w:p>
      <w:pPr>
        <w:pStyle w:val="Normal"/>
        <w:jc w:val="both"/>
        <w:rPr/>
      </w:pPr>
      <w:r>
        <w:rPr/>
        <w:t xml:space="preserve">Poszczególne rodzaje materiałów powinny pochodzić ze źródeł zatwierdzonych przez Inżyniera. </w:t>
        <w:br/>
        <w:t>W przypadku zmiany pochodzenia materiału należy, po wykonaniu odpowiednich badań, opracować skorygowany skład mieszanki mineralno-asfaltowej.</w:t>
      </w:r>
    </w:p>
    <w:p>
      <w:pPr>
        <w:pStyle w:val="Normal"/>
        <w:jc w:val="both"/>
        <w:rPr/>
      </w:pPr>
      <w:r>
        <w:rPr/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Rodzaje materiałów</w:t>
      </w:r>
    </w:p>
    <w:p>
      <w:pPr>
        <w:pStyle w:val="Normal"/>
        <w:jc w:val="both"/>
        <w:rPr/>
      </w:pPr>
      <w:r>
        <w:rPr/>
        <w:t>Rodzaje materiałów stosowanych do mieszanki mineralno-asfaltowej podano w tablicy 1.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Tablica 1. Rodzaje materiałów do mieszanki mineralno-asfaltowej</w:t>
      </w:r>
    </w:p>
    <w:tbl>
      <w:tblPr>
        <w:tblStyle w:val="Tabela-Siatka"/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5"/>
        <w:gridCol w:w="2735"/>
        <w:gridCol w:w="6379"/>
      </w:tblGrid>
      <w:tr>
        <w:trPr/>
        <w:tc>
          <w:tcPr>
            <w:tcW w:w="525" w:type="dxa"/>
            <w:vMerge w:val="restart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Lp.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2735" w:type="dxa"/>
            <w:vMerge w:val="restart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Rodzaj materiału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Wymagania wg / dokument odniesienia</w:t>
            </w:r>
          </w:p>
        </w:tc>
      </w:tr>
      <w:tr>
        <w:trPr>
          <w:trHeight w:val="62" w:hRule="atLeast"/>
        </w:trPr>
        <w:tc>
          <w:tcPr>
            <w:tcW w:w="525" w:type="dxa"/>
            <w:vMerge w:val="continue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2735" w:type="dxa"/>
            <w:vMerge w:val="continue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KR3-4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 xml:space="preserve">Kruszywo grube 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WT-1 Kruszywa 2014tablica 4,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2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Kruszywo drobne lub o ciągłym uziarnieniu D≤8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WT-1 Kruszywa 2014, tablica 5, 6,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Kruszywo o ciągłym uziarnieniu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WT-1 Kruszywa 2014, tablica 6a,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4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 xml:space="preserve">Wypełniacz 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WT-1 Kruszywa 2014, tablica 7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Lepiszcze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lang w:val="nl-N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val="nl-NL" w:eastAsia="pl-PL"/>
              </w:rPr>
              <w:t>WT-2 2014 Tab. 5, PN-EN 14023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lang w:val="nl-N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val="nl-NL" w:eastAsia="pl-PL"/>
              </w:rPr>
              <w:t xml:space="preserve">PN-EN 12591, 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Środek adhezyjny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 xml:space="preserve">wg Aprobaty Technicznej lub zgodnie z zapisami p. 4.1 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PN-EN 13108-1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7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Mieszanka mineralno-asfaltowa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WT-2 2016  pkt. 8.2.1 tab. 6 i 8</w:t>
            </w:r>
          </w:p>
        </w:tc>
      </w:tr>
      <w:tr>
        <w:trPr/>
        <w:tc>
          <w:tcPr>
            <w:tcW w:w="52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8</w:t>
            </w:r>
          </w:p>
        </w:tc>
        <w:tc>
          <w:tcPr>
            <w:tcW w:w="2735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Granulat asfaltowy</w:t>
            </w:r>
          </w:p>
        </w:tc>
        <w:tc>
          <w:tcPr>
            <w:tcW w:w="637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Wg pkt 2.2.3</w:t>
            </w:r>
          </w:p>
        </w:tc>
      </w:tr>
      <w:tr>
        <w:trPr/>
        <w:tc>
          <w:tcPr>
            <w:tcW w:w="9639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Jeżeli stosowana jest mieszanka kruszywa drobnego niełamanego i łamanego, to należy przyjąć proporcję kruszywa łamanego do niełamanego co najmniej 50/50.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Wymagania wobec innych materiałów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Materiały do połączeń technologicznych</w:t>
      </w:r>
    </w:p>
    <w:p>
      <w:pPr>
        <w:pStyle w:val="Normal"/>
        <w:jc w:val="both"/>
        <w:rPr/>
      </w:pPr>
      <w:r>
        <w:rPr/>
        <w:t>Do uszczelniania połączeń działek roboczych należy stosować materiały zgodne z  WT-2 2016, część II.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Lepiszcze do skropienia podłoża</w:t>
      </w:r>
    </w:p>
    <w:p>
      <w:pPr>
        <w:pStyle w:val="Normal"/>
        <w:jc w:val="both"/>
        <w:rPr/>
      </w:pPr>
      <w:r>
        <w:rPr/>
        <w:t>Lepiszcze do skropienia podłoża powinno spełniać wymagania podane PN-EN 13808 i WT-2 2016, część II.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Granulat asfaltowy</w:t>
      </w:r>
    </w:p>
    <w:p>
      <w:pPr>
        <w:pStyle w:val="Normal"/>
        <w:spacing w:before="120" w:after="0"/>
        <w:jc w:val="both"/>
        <w:rPr/>
      </w:pPr>
      <w:r>
        <w:rPr/>
        <w:t>Zamawiający dopuszcza dodatek granulatu do warstwy podbudowy z betonu asfaltowego w ilości 30% mieszanki mineralno-asfaltowej zgodnie z zasadami podanymi w WT-2 2014.</w:t>
      </w:r>
    </w:p>
    <w:p>
      <w:pPr>
        <w:pStyle w:val="Normal"/>
        <w:spacing w:before="120" w:after="0"/>
        <w:jc w:val="both"/>
        <w:rPr/>
      </w:pPr>
      <w:r>
        <w:rPr/>
        <w:t>Zestawienie wymagań dotyczących granulatu asfaltowego stosowanego do poszczególnych warstw asfaltowych nawierzchni zawarto w tablicy 2.</w:t>
      </w:r>
    </w:p>
    <w:p>
      <w:pPr>
        <w:pStyle w:val="Normal"/>
        <w:spacing w:before="120" w:after="0"/>
        <w:jc w:val="both"/>
        <w:rPr/>
      </w:pPr>
      <w:r>
        <w:rPr/>
        <w:t>Jeżeli w granulacie asfaltowym występują materiały obce, to ich obecność, zawartość i rodzaj powinny być udokumentowane i zadeklarowane do odpowiedniej kategorii.</w:t>
      </w:r>
    </w:p>
    <w:p>
      <w:pPr>
        <w:pStyle w:val="Normal"/>
        <w:spacing w:before="120" w:after="0"/>
        <w:jc w:val="both"/>
        <w:rPr/>
      </w:pPr>
      <w:r>
        <w:rPr/>
        <w:t>Zawartość materiałów obcych powinna być oznaczona zgodnie z PN-EN 12697-42. Wynik należy podać jako kategorię wg Tablicy 3.</w:t>
      </w:r>
    </w:p>
    <w:p>
      <w:pPr>
        <w:pStyle w:val="Normal"/>
        <w:spacing w:before="120" w:after="120"/>
        <w:jc w:val="both"/>
        <w:rPr/>
      </w:pPr>
      <w:r>
        <w:rPr/>
        <w:t>Tablica 2.   Wymagania dotyczące granulatu asfaltowego</w:t>
      </w:r>
    </w:p>
    <w:tbl>
      <w:tblPr>
        <w:tblW w:w="49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813"/>
        <w:gridCol w:w="938"/>
        <w:gridCol w:w="5139"/>
      </w:tblGrid>
      <w:tr>
        <w:trPr>
          <w:trHeight w:val="60" w:hRule="atLeast"/>
        </w:trPr>
        <w:tc>
          <w:tcPr>
            <w:tcW w:w="3751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Wymagania</w:t>
            </w:r>
          </w:p>
        </w:tc>
        <w:tc>
          <w:tcPr>
            <w:tcW w:w="513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Warstwa nawierzchni</w:t>
            </w:r>
          </w:p>
        </w:tc>
      </w:tr>
      <w:tr>
        <w:trPr>
          <w:trHeight w:val="60" w:hRule="atLeast"/>
        </w:trPr>
        <w:tc>
          <w:tcPr>
            <w:tcW w:w="3751" w:type="dxa"/>
            <w:gridSpan w:val="2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</w:r>
          </w:p>
        </w:tc>
        <w:tc>
          <w:tcPr>
            <w:tcW w:w="5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 xml:space="preserve">Podbudowa </w:t>
            </w:r>
          </w:p>
        </w:tc>
      </w:tr>
      <w:tr>
        <w:trPr>
          <w:trHeight w:val="60" w:hRule="atLeast"/>
        </w:trPr>
        <w:tc>
          <w:tcPr>
            <w:tcW w:w="3751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Zawartość materiałów obcych</w:t>
            </w:r>
          </w:p>
        </w:tc>
        <w:tc>
          <w:tcPr>
            <w:tcW w:w="5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Kategoria FM</w:t>
            </w:r>
            <w:r>
              <w:rPr>
                <w:vertAlign w:val="subscript"/>
              </w:rPr>
              <w:t>1/0,1</w:t>
            </w:r>
          </w:p>
        </w:tc>
      </w:tr>
      <w:tr>
        <w:trPr>
          <w:trHeight w:val="60" w:hRule="atLeast"/>
        </w:trPr>
        <w:tc>
          <w:tcPr>
            <w:tcW w:w="2813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Właściwości lepiszcza odzyskanego w granulacie asfaltowym</w:t>
            </w:r>
            <w:r>
              <w:rPr>
                <w:vertAlign w:val="superscript"/>
              </w:rPr>
              <w:t>a/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PiK</w:t>
            </w:r>
          </w:p>
        </w:tc>
        <w:tc>
          <w:tcPr>
            <w:tcW w:w="5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Kategoria S</w:t>
            </w:r>
            <w:r>
              <w:rPr>
                <w:vertAlign w:val="subscript"/>
              </w:rPr>
              <w:t>70</w:t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Wartość średnia nie może być wyższa niż 70</w:t>
            </w:r>
            <w:r>
              <w:rPr>
                <w:vertAlign w:val="superscript"/>
              </w:rPr>
              <w:t>o</w:t>
            </w:r>
            <w:r>
              <w:rPr/>
              <w:t>C. Pojedyncze wartości temperatury mięknienia nie mogą przekraczać 77</w:t>
            </w:r>
            <w:r>
              <w:rPr>
                <w:vertAlign w:val="superscript"/>
              </w:rPr>
              <w:t>o</w:t>
            </w:r>
            <w:r>
              <w:rPr/>
              <w:t>C.</w:t>
            </w:r>
          </w:p>
        </w:tc>
      </w:tr>
      <w:tr>
        <w:trPr>
          <w:trHeight w:val="60" w:hRule="atLeast"/>
        </w:trPr>
        <w:tc>
          <w:tcPr>
            <w:tcW w:w="2813" w:type="dxa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Pen.</w:t>
            </w:r>
          </w:p>
        </w:tc>
        <w:tc>
          <w:tcPr>
            <w:tcW w:w="5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Kategoria P</w:t>
            </w:r>
            <w:r>
              <w:rPr>
                <w:vertAlign w:val="subscript"/>
              </w:rPr>
              <w:t>15</w:t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Wartość średnia nie może być mniejsza niż 15x0,1mm. Pojedyncze wartości penetracji nie mogą być mniejsze niż 10x0,1mm</w:t>
              <w:tab/>
              <w:tab/>
              <w:tab/>
              <w:tab/>
              <w:tab/>
              <w:tab/>
              <w:tab/>
            </w:r>
          </w:p>
        </w:tc>
      </w:tr>
      <w:tr>
        <w:trPr>
          <w:trHeight w:val="60" w:hRule="atLeast"/>
        </w:trPr>
        <w:tc>
          <w:tcPr>
            <w:tcW w:w="3751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Jednorodność</w:t>
            </w:r>
          </w:p>
        </w:tc>
        <w:tc>
          <w:tcPr>
            <w:tcW w:w="5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wg tablicy 4</w:t>
            </w:r>
          </w:p>
        </w:tc>
      </w:tr>
      <w:tr>
        <w:trPr>
          <w:trHeight w:val="60" w:hRule="atLeast"/>
        </w:trPr>
        <w:tc>
          <w:tcPr>
            <w:tcW w:w="8890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bookmarkStart w:id="1" w:name="_Toc354646605"/>
            <w:bookmarkStart w:id="2" w:name="_Toc354645412"/>
            <w:bookmarkStart w:id="3" w:name="_Toc354604557"/>
            <w:bookmarkStart w:id="4" w:name="_Toc354596985"/>
            <w:bookmarkStart w:id="5" w:name="_Toc354596943"/>
            <w:r>
              <w:rPr>
                <w:vertAlign w:val="superscript"/>
              </w:rPr>
              <w:t>a)</w:t>
            </w:r>
            <w:r>
              <w:rPr/>
              <w:t xml:space="preserve"> Do sklasyfikowania lepiszcza odzyskanego w granulacie asfaltowym wystarcza oznaczenie temperatury mięknienia PiK. Tylko w szczególnych przypadkach należy wykonać oznaczenie penetracji. Oceny właściwości lepiszcza należy dokonać wg pkt. 4.2.2 normy PN-EN 13108-8.</w:t>
            </w:r>
            <w:bookmarkEnd w:id="1"/>
            <w:bookmarkEnd w:id="2"/>
            <w:bookmarkEnd w:id="3"/>
            <w:bookmarkEnd w:id="4"/>
            <w:bookmarkEnd w:id="5"/>
          </w:p>
        </w:tc>
      </w:tr>
    </w:tbl>
    <w:p>
      <w:pPr>
        <w:pStyle w:val="Normal"/>
        <w:spacing w:before="120" w:after="120"/>
        <w:jc w:val="both"/>
        <w:rPr/>
      </w:pPr>
      <w:r>
        <w:rPr/>
        <w:t>Tablica 3.</w:t>
        <w:tab/>
        <w:t>Zawartość materiałów obcych w granulacie asfaltowym</w:t>
      </w:r>
    </w:p>
    <w:tbl>
      <w:tblPr>
        <w:tblW w:w="918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336"/>
        <w:gridCol w:w="3336"/>
        <w:gridCol w:w="2508"/>
      </w:tblGrid>
      <w:tr>
        <w:trPr>
          <w:trHeight w:val="510" w:hRule="atLeast"/>
        </w:trPr>
        <w:tc>
          <w:tcPr>
            <w:tcW w:w="6672" w:type="dxa"/>
            <w:gridSpan w:val="2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materiały obce*</w:t>
            </w:r>
          </w:p>
        </w:tc>
        <w:tc>
          <w:tcPr>
            <w:tcW w:w="25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szCs w:val="22"/>
              </w:rPr>
              <w:t>kategoria</w:t>
            </w:r>
          </w:p>
        </w:tc>
      </w:tr>
      <w:tr>
        <w:trPr>
          <w:trHeight w:val="491" w:hRule="atLeast"/>
        </w:trPr>
        <w:tc>
          <w:tcPr>
            <w:tcW w:w="33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grupa 1</w:t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[% masy]</w:t>
            </w: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grupa 2</w:t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[% masy]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FM</w:t>
            </w:r>
          </w:p>
        </w:tc>
      </w:tr>
      <w:tr>
        <w:trPr/>
        <w:tc>
          <w:tcPr>
            <w:tcW w:w="33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&lt; 1</w:t>
            </w: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&lt; 0,1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i/>
              </w:rPr>
              <w:t>FM</w:t>
            </w:r>
            <w:r>
              <w:rPr>
                <w:vertAlign w:val="subscript"/>
              </w:rPr>
              <w:t>1/0,1</w:t>
            </w:r>
          </w:p>
        </w:tc>
      </w:tr>
      <w:tr>
        <w:trPr/>
        <w:tc>
          <w:tcPr>
            <w:tcW w:w="33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&lt; 5</w:t>
            </w: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&lt; 0,1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i/>
              </w:rPr>
              <w:t>FM</w:t>
            </w:r>
            <w:r>
              <w:rPr>
                <w:vertAlign w:val="subscript"/>
              </w:rPr>
              <w:t>5/0,1</w:t>
            </w:r>
          </w:p>
        </w:tc>
      </w:tr>
      <w:tr>
        <w:trPr/>
        <w:tc>
          <w:tcPr>
            <w:tcW w:w="33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&gt; 5</w:t>
            </w:r>
          </w:p>
        </w:tc>
        <w:tc>
          <w:tcPr>
            <w:tcW w:w="3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&gt; 0,1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>
                <w:i/>
              </w:rPr>
              <w:t>FM</w:t>
            </w:r>
            <w:r>
              <w:rPr>
                <w:vertAlign w:val="subscript"/>
              </w:rPr>
              <w:t>dec</w:t>
            </w:r>
          </w:p>
        </w:tc>
      </w:tr>
      <w:tr>
        <w:trPr/>
        <w:tc>
          <w:tcPr>
            <w:tcW w:w="9180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*materiały obce grupy 1 i 2 zgodnie z p. 4.1 normy PN-EN 13108-8</w:t>
            </w:r>
          </w:p>
        </w:tc>
      </w:tr>
    </w:tbl>
    <w:p>
      <w:pPr>
        <w:pStyle w:val="PKT3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Normal"/>
        <w:widowControl/>
        <w:spacing w:lineRule="auto" w:line="259" w:before="0" w:after="160"/>
        <w:rPr>
          <w:rFonts w:eastAsia="Calibri" w:cs="Times New Roman"/>
          <w:b/>
          <w:b/>
          <w:szCs w:val="22"/>
          <w:lang w:eastAsia="en-US"/>
        </w:rPr>
      </w:pPr>
      <w:r>
        <w:rPr>
          <w:rFonts w:eastAsia="Calibri" w:cs="Times New Roman"/>
          <w:b/>
          <w:szCs w:val="22"/>
          <w:lang w:eastAsia="en-US"/>
        </w:rPr>
      </w:r>
      <w:r>
        <w:br w:type="page"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Jednorodność</w:t>
      </w:r>
    </w:p>
    <w:p>
      <w:pPr>
        <w:pStyle w:val="Normal"/>
        <w:spacing w:before="120" w:after="0"/>
        <w:jc w:val="both"/>
        <w:rPr/>
      </w:pPr>
      <w:r>
        <w:rPr/>
        <w: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t>
      </w:r>
    </w:p>
    <w:p>
      <w:pPr>
        <w:pStyle w:val="Normal"/>
        <w:spacing w:before="120" w:after="0"/>
        <w:jc w:val="both"/>
        <w:rPr/>
      </w:pPr>
      <w:r>
        <w:rPr/>
        <w:t xml:space="preserve">Wymagane jest podanie zmierzonej wartości jednorodności rozstępu wyników badań właściwości, przeprowadzonych naliczbie próbek </w:t>
      </w:r>
      <w:r>
        <w:rPr>
          <w:i/>
        </w:rPr>
        <w:t>n</w:t>
      </w:r>
      <w:r>
        <w:rPr/>
        <w:t xml:space="preserve">, przy czym </w:t>
      </w:r>
      <w:r>
        <w:rPr>
          <w:i/>
        </w:rPr>
        <w:t>n</w:t>
      </w:r>
      <w:r>
        <w:rPr/>
        <w:t xml:space="preserve"> powinno wynosić co najmniej 5. Liczbę próbek oblicza się, dzieląc masę materiału wyjściowego podanego w tonach [t] przez 500 t, zaokrąglając w górę do pełnej liczby.</w:t>
      </w:r>
    </w:p>
    <w:p>
      <w:pPr>
        <w:pStyle w:val="Normal"/>
        <w:spacing w:before="120" w:after="0"/>
        <w:jc w:val="both"/>
        <w:rPr/>
      </w:pPr>
      <w:r>
        <w:rPr/>
        <w:t>Wymagania dotyczące dopuszczalnego rozstępu wyników badań właściwości granulatu asfaltowego podano w tablicy 4.</w:t>
      </w:r>
    </w:p>
    <w:p>
      <w:pPr>
        <w:pStyle w:val="Normal"/>
        <w:spacing w:before="120" w:after="0"/>
        <w:jc w:val="both"/>
        <w:rPr/>
      </w:pPr>
      <w:r>
        <w:rPr/>
        <w:t xml:space="preserve">Tablica 4.   Dopuszczalny rozstęp wyników badań właściwości 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09"/>
        <w:gridCol w:w="5162"/>
      </w:tblGrid>
      <w:tr>
        <w:trPr>
          <w:trHeight w:val="60" w:hRule="atLeast"/>
        </w:trPr>
        <w:tc>
          <w:tcPr>
            <w:tcW w:w="3909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>
                <w:vertAlign w:val="subscript"/>
              </w:rPr>
            </w:pPr>
            <w:r>
              <w:rPr/>
              <w:t xml:space="preserve">Właściwość </w:t>
            </w:r>
          </w:p>
        </w:tc>
        <w:tc>
          <w:tcPr>
            <w:tcW w:w="516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Dopuszczalny rozstęp wyników badań (</w:t>
            </w:r>
            <w:r>
              <w:rPr>
                <w:i/>
              </w:rPr>
              <w:t>T</w:t>
            </w:r>
            <w:r>
              <w:rPr>
                <w:i/>
                <w:vertAlign w:val="subscript"/>
              </w:rPr>
              <w:t>roz</w:t>
            </w:r>
            <w:r>
              <w:rPr/>
              <w:t xml:space="preserve"> ) partii granulatu asfaltowego do zastosowania w mieszance mineralno-asfaltowej przeznaczonej do:</w:t>
            </w:r>
          </w:p>
        </w:tc>
      </w:tr>
      <w:tr>
        <w:trPr>
          <w:trHeight w:val="60" w:hRule="atLeast"/>
        </w:trPr>
        <w:tc>
          <w:tcPr>
            <w:tcW w:w="3909" w:type="dxa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warstwy podbudowy</w:t>
            </w:r>
          </w:p>
        </w:tc>
      </w:tr>
      <w:tr>
        <w:trPr>
          <w:trHeight w:val="60" w:hRule="atLeast"/>
        </w:trPr>
        <w:tc>
          <w:tcPr>
            <w:tcW w:w="390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Temperatura mięknienia</w:t>
            </w:r>
          </w:p>
          <w:p>
            <w:pPr>
              <w:pStyle w:val="Normal"/>
              <w:jc w:val="both"/>
              <w:rPr/>
            </w:pPr>
            <w:r>
              <w:rPr/>
              <w:t>lepiszcza odzyskanego, [°C]</w:t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8,0</w:t>
            </w:r>
          </w:p>
        </w:tc>
      </w:tr>
      <w:tr>
        <w:trPr>
          <w:trHeight w:val="60" w:hRule="atLeast"/>
        </w:trPr>
        <w:tc>
          <w:tcPr>
            <w:tcW w:w="390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Zawartość lepiszcza, [%(m/m)]</w:t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1,2</w:t>
            </w:r>
          </w:p>
        </w:tc>
      </w:tr>
      <w:tr>
        <w:trPr>
          <w:trHeight w:val="60" w:hRule="atLeast"/>
        </w:trPr>
        <w:tc>
          <w:tcPr>
            <w:tcW w:w="390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Kruszywo o uziarnieniu poniżej 0,063 mm, [%(m/m)] </w:t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10,0</w:t>
            </w:r>
          </w:p>
        </w:tc>
      </w:tr>
      <w:tr>
        <w:trPr>
          <w:trHeight w:val="60" w:hRule="atLeast"/>
        </w:trPr>
        <w:tc>
          <w:tcPr>
            <w:tcW w:w="390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Kruszywo o uziarnieniu od 0,063 do 2 mm, [%(m/m)]</w:t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16,0</w:t>
            </w:r>
          </w:p>
        </w:tc>
      </w:tr>
      <w:tr>
        <w:trPr>
          <w:trHeight w:val="60" w:hRule="atLeast"/>
        </w:trPr>
        <w:tc>
          <w:tcPr>
            <w:tcW w:w="390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Kruszywo o uziarnieniu powyżej 2 mm, [%(m/m)]</w:t>
            </w:r>
          </w:p>
        </w:tc>
        <w:tc>
          <w:tcPr>
            <w:tcW w:w="516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18,0</w:t>
            </w:r>
          </w:p>
        </w:tc>
      </w:tr>
    </w:tbl>
    <w:p>
      <w:pPr>
        <w:pStyle w:val="PKT3"/>
        <w:numPr>
          <w:ilvl w:val="2"/>
          <w:numId w:val="1"/>
        </w:numPr>
        <w:ind w:left="1134" w:hanging="774"/>
        <w:rPr/>
      </w:pPr>
      <w:bookmarkStart w:id="6" w:name="_Toc373821874"/>
      <w:bookmarkStart w:id="7" w:name="_Toc262940092"/>
      <w:r>
        <w:rPr/>
        <w:t>Opis granulatu asfaltowego</w:t>
      </w:r>
      <w:bookmarkEnd w:id="6"/>
      <w:bookmarkEnd w:id="7"/>
    </w:p>
    <w:p>
      <w:pPr>
        <w:pStyle w:val="Normal"/>
        <w:jc w:val="both"/>
        <w:rPr>
          <w:color w:val="FF0000"/>
        </w:rPr>
      </w:pPr>
      <w:r>
        <w:rPr/>
        <w:t xml:space="preserve">W opisie granulatu asfaltowego należy deklarować: 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 xml:space="preserve">typ mieszanki lub mieszanek, z której pochodzi granulat (np. AC 16 S droga DK 10); nie dopuszcza się do stosowania granulatu, którego pochodzenia nie można udokumentować i zadeklarować 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rodzaj kruszywa i średnie uziarnienie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typ lepiszcza, średnią zawartość lepiszcza i średnią temperaturę mięknienia lepiszcza odzyskanego,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maksymalną wielkość kawałków granulatu asfaltowego U</w:t>
      </w:r>
      <w:r>
        <w:rPr>
          <w:vertAlign w:val="subscript"/>
        </w:rPr>
        <w:t>GRA</w:t>
      </w:r>
      <w:r>
        <w:rPr/>
        <w:t>.</w:t>
      </w:r>
    </w:p>
    <w:p>
      <w:pPr>
        <w:pStyle w:val="Tretekstu"/>
        <w:spacing w:lineRule="auto" w:line="240" w:before="0" w:after="0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Dopuszcza się deklarowanie właściwości kruszywa mineralnego w granulacie asfaltowym na podstawie udokumentowanego wcześniejszego zastosowania.</w:t>
      </w:r>
    </w:p>
    <w:p>
      <w:pPr>
        <w:pStyle w:val="PKT3"/>
        <w:numPr>
          <w:ilvl w:val="2"/>
          <w:numId w:val="1"/>
        </w:numPr>
        <w:ind w:left="1134" w:hanging="774"/>
        <w:rPr/>
      </w:pPr>
      <w:bookmarkStart w:id="8" w:name="_Toc373821875"/>
      <w:bookmarkStart w:id="9" w:name="_Toc262940093"/>
      <w:r>
        <w:rPr/>
        <w:t>Warunki stosowania granulatu asfaltowego</w:t>
      </w:r>
      <w:bookmarkEnd w:id="8"/>
      <w:bookmarkEnd w:id="9"/>
    </w:p>
    <w:p>
      <w:pPr>
        <w:pStyle w:val="Normal"/>
        <w:spacing w:before="120" w:after="0"/>
        <w:jc w:val="both"/>
        <w:rPr/>
      </w:pPr>
      <w:r>
        <w:rPr/>
        <w: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t>
      </w:r>
    </w:p>
    <w:p>
      <w:pPr>
        <w:pStyle w:val="Normal"/>
        <w:spacing w:before="120" w:after="0"/>
        <w:jc w:val="both"/>
        <w:rPr/>
      </w:pPr>
      <w:r>
        <w:rPr/>
        <w: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t>
      </w:r>
    </w:p>
    <w:p>
      <w:pPr>
        <w:pStyle w:val="Normal"/>
        <w:spacing w:before="120" w:after="0"/>
        <w:jc w:val="both"/>
        <w:rPr/>
      </w:pPr>
      <w:r>
        <w:rPr/>
        <w:t>Tablica 5. Temperatura kruszywa w zależności od ilości zimnego i suchego granulatu</w:t>
      </w:r>
    </w:p>
    <w:p>
      <w:pPr>
        <w:pStyle w:val="Normal"/>
        <w:jc w:val="both"/>
        <w:rPr/>
      </w:pPr>
      <w:r>
        <w:rPr/>
        <w:drawing>
          <wp:inline distT="0" distB="0" distL="0" distR="0">
            <wp:extent cx="6134100" cy="385762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120" w:after="120"/>
        <w:jc w:val="both"/>
        <w:rPr/>
      </w:pPr>
      <w:r>
        <w:rPr/>
        <w:t xml:space="preserve">Należy oznaczyć wilgotność granulatu asfaltowego i skorygować temperaturę produkcji mma zgodnie </w:t>
        <w:br/>
        <w:t>z tablicą 6 o tyle aby nie została przekroczona dopuszczalna temperatura produkcji (p. 8.3 tablica 42 WT-2 2014)</w:t>
      </w:r>
    </w:p>
    <w:p>
      <w:pPr>
        <w:pStyle w:val="Normal"/>
        <w:spacing w:before="120" w:after="120"/>
        <w:jc w:val="both"/>
        <w:rPr/>
      </w:pPr>
      <w:r>
        <w:rPr/>
        <w:t xml:space="preserve">Tablica 6. Korekta temperatury produkcji w zależności od wilgotności granulatu </w:t>
      </w:r>
    </w:p>
    <w:tbl>
      <w:tblPr>
        <w:tblW w:w="928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1415"/>
        <w:gridCol w:w="1310"/>
        <w:gridCol w:w="1312"/>
        <w:gridCol w:w="1312"/>
        <w:gridCol w:w="1312"/>
        <w:gridCol w:w="1312"/>
        <w:gridCol w:w="1313"/>
      </w:tblGrid>
      <w:tr>
        <w:trPr>
          <w:trHeight w:val="227" w:hRule="atLeast"/>
        </w:trPr>
        <w:tc>
          <w:tcPr>
            <w:tcW w:w="141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Udział granulatu asfaltowego M [%]</w:t>
            </w:r>
          </w:p>
        </w:tc>
        <w:tc>
          <w:tcPr>
            <w:tcW w:w="7871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Wilgotność granulatu asfaltowego M [%]</w:t>
            </w:r>
          </w:p>
        </w:tc>
      </w:tr>
      <w:tr>
        <w:trPr>
          <w:trHeight w:val="227" w:hRule="atLeast"/>
        </w:trPr>
        <w:tc>
          <w:tcPr>
            <w:tcW w:w="1415" w:type="dxa"/>
            <w:vMerge w:val="continue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5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6</w:t>
            </w:r>
          </w:p>
        </w:tc>
      </w:tr>
      <w:tr>
        <w:trPr>
          <w:trHeight w:val="227" w:hRule="atLeast"/>
        </w:trPr>
        <w:tc>
          <w:tcPr>
            <w:tcW w:w="1415" w:type="dxa"/>
            <w:vMerge w:val="continue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</w:r>
          </w:p>
        </w:tc>
        <w:tc>
          <w:tcPr>
            <w:tcW w:w="7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Korekta temperatury °C</w:t>
            </w:r>
          </w:p>
        </w:tc>
      </w:tr>
      <w:tr>
        <w:trPr>
          <w:trHeight w:val="227" w:hRule="atLeast"/>
        </w:trPr>
        <w:tc>
          <w:tcPr>
            <w:tcW w:w="14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24</w:t>
            </w:r>
          </w:p>
        </w:tc>
      </w:tr>
      <w:tr>
        <w:trPr>
          <w:trHeight w:val="227" w:hRule="atLeast"/>
        </w:trPr>
        <w:tc>
          <w:tcPr>
            <w:tcW w:w="14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36</w:t>
            </w:r>
          </w:p>
        </w:tc>
      </w:tr>
      <w:tr>
        <w:trPr>
          <w:trHeight w:val="227" w:hRule="atLeast"/>
        </w:trPr>
        <w:tc>
          <w:tcPr>
            <w:tcW w:w="14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8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16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40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48</w:t>
            </w:r>
          </w:p>
        </w:tc>
      </w:tr>
      <w:tr>
        <w:trPr>
          <w:trHeight w:val="227" w:hRule="atLeast"/>
        </w:trPr>
        <w:tc>
          <w:tcPr>
            <w:tcW w:w="14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40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50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60</w:t>
            </w:r>
          </w:p>
        </w:tc>
      </w:tr>
      <w:tr>
        <w:trPr>
          <w:trHeight w:val="227" w:hRule="atLeast"/>
        </w:trPr>
        <w:tc>
          <w:tcPr>
            <w:tcW w:w="141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30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-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-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-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-</w:t>
            </w:r>
          </w:p>
        </w:tc>
      </w:tr>
    </w:tbl>
    <w:p>
      <w:pPr>
        <w:pStyle w:val="Normal"/>
        <w:spacing w:before="120" w:after="0"/>
        <w:jc w:val="both"/>
        <w:rPr/>
      </w:pPr>
      <w:r>
        <w:rPr/>
        <w:t xml:space="preserve">Obecnie stosowane są dwie metody dodawania granulatu asfaltowego do mieszalnika otaczarki: </w:t>
        <w:br/>
        <w:t>bez wstępnego ogrzewania „metoda na zimno</w:t>
      </w:r>
      <w:r>
        <w:rPr>
          <w:i/>
        </w:rPr>
        <w:t>”</w:t>
      </w:r>
      <w:r>
        <w:rPr/>
        <w:t xml:space="preserve"> i ze wstępnym ogrzewaniem granulatu asfaltowego „metoda na gorąco”.</w:t>
      </w:r>
    </w:p>
    <w:p>
      <w:pPr>
        <w:pStyle w:val="Normal"/>
        <w:spacing w:before="120" w:after="0"/>
        <w:jc w:val="both"/>
        <w:rPr/>
      </w:pPr>
      <w:r>
        <w:rPr/>
        <w:t xml:space="preserve">Wymiar </w:t>
      </w:r>
      <w:r>
        <w:rPr>
          <w:i/>
        </w:rPr>
        <w:t>D</w:t>
      </w:r>
      <w:r>
        <w:rPr/>
        <w:t xml:space="preserve"> kruszywa zawartego w granulacie asfaltowym nie może być większy od wymiaru </w:t>
      </w:r>
      <w:r>
        <w:rPr>
          <w:i/>
        </w:rPr>
        <w:t>D</w:t>
      </w:r>
      <w:r>
        <w:rPr/>
        <w:t xml:space="preserve"> mieszanki mineralnej wchodzącej w skład mieszanki mineralno-asfaltowej.</w:t>
      </w:r>
    </w:p>
    <w:p>
      <w:pPr>
        <w:pStyle w:val="Normal"/>
        <w:spacing w:before="120" w:after="0"/>
        <w:jc w:val="both"/>
        <w:rPr/>
      </w:pPr>
      <w:r>
        <w:rPr/>
        <w:t>W „metodzie na gorąco” asfalt wynikowy odzyskany z wyprodukowanej mieszanki mineralnoasfaltowej T</w:t>
      </w:r>
      <w:r>
        <w:rPr>
          <w:vertAlign w:val="subscript"/>
        </w:rPr>
        <w:t>R&amp;Bmix</w:t>
      </w:r>
      <w:r>
        <w:rPr/>
        <w:t xml:space="preserve">powinien spełniać oczekiwane wymagania według dokumentacji projektowej. </w:t>
      </w:r>
    </w:p>
    <w:p>
      <w:pPr>
        <w:pStyle w:val="Normal"/>
        <w:spacing w:before="120" w:after="0"/>
        <w:jc w:val="both"/>
        <w:rPr/>
      </w:pPr>
      <w:r>
        <w:rPr/>
        <w:t>Do obliczania temperatury mięknienia mieszaniny lepiszcza z granulatu asfaltowego i świeżego asfaltu należy zastosować następujące równanie:</w:t>
      </w:r>
    </w:p>
    <w:p>
      <w:pPr>
        <w:pStyle w:val="Normal"/>
        <w:spacing w:before="120" w:after="0"/>
        <w:ind w:left="2832" w:firstLine="708"/>
        <w:jc w:val="both"/>
        <w:rPr/>
      </w:pPr>
      <w:r>
        <w:rPr/>
        <w:drawing>
          <wp:inline distT="0" distB="0" distL="0" distR="0">
            <wp:extent cx="1659890" cy="238125"/>
            <wp:effectExtent l="0" t="0" r="0" b="0"/>
            <wp:docPr id="2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bscript"/>
        </w:rPr>
        <w:tab/>
        <w:tab/>
      </w:r>
      <w:r>
        <w:rPr>
          <w:rStyle w:val="TekstpodstawowyZnak"/>
        </w:rPr>
        <w:t>(1)</w:t>
      </w:r>
    </w:p>
    <w:p>
      <w:pPr>
        <w:pStyle w:val="Normal"/>
        <w:jc w:val="both"/>
        <w:rPr/>
      </w:pPr>
      <w:r>
        <w:rPr/>
        <w:t>w którym:</w:t>
      </w:r>
    </w:p>
    <w:p>
      <w:pPr>
        <w:pStyle w:val="Normal"/>
        <w:jc w:val="both"/>
        <w:rPr/>
      </w:pPr>
      <w:r>
        <w:rPr>
          <w:i/>
        </w:rPr>
        <w:t>T</w:t>
      </w:r>
      <w:r>
        <w:rPr>
          <w:i/>
          <w:vertAlign w:val="subscript"/>
        </w:rPr>
        <w:t>R</w:t>
      </w:r>
      <w:r>
        <w:rPr>
          <w:vertAlign w:val="subscript"/>
        </w:rPr>
        <w:t>&amp;</w:t>
      </w:r>
      <w:r>
        <w:rPr>
          <w:i/>
          <w:vertAlign w:val="subscript"/>
        </w:rPr>
        <w:t>Bmix</w:t>
      </w:r>
      <w:r>
        <w:rPr/>
        <w:tab/>
        <w:t>- temperatura mięknienia mieszanki lepiszczy w mieszance mineralno-asfaltowej z dodatkiem granulatu asfaltowego, [°C];</w:t>
      </w:r>
    </w:p>
    <w:p>
      <w:pPr>
        <w:pStyle w:val="Normal"/>
        <w:jc w:val="both"/>
        <w:rPr/>
      </w:pPr>
      <w:r>
        <w:rPr>
          <w:i/>
        </w:rPr>
        <w:t>T</w:t>
      </w:r>
      <w:r>
        <w:rPr>
          <w:i/>
          <w:vertAlign w:val="subscript"/>
        </w:rPr>
        <w:t>R</w:t>
      </w:r>
      <w:r>
        <w:rPr>
          <w:vertAlign w:val="subscript"/>
        </w:rPr>
        <w:t>&amp;</w:t>
      </w:r>
      <w:r>
        <w:rPr>
          <w:i/>
          <w:vertAlign w:val="subscript"/>
        </w:rPr>
        <w:t>B1</w:t>
      </w:r>
      <w:r>
        <w:rPr/>
        <w:tab/>
        <w:t>- temperatura mięknienia lepiszcza odzyskanego z granulatu asfaltowego, [°C];</w:t>
      </w:r>
    </w:p>
    <w:p>
      <w:pPr>
        <w:pStyle w:val="Normal"/>
        <w:jc w:val="both"/>
        <w:rPr/>
      </w:pPr>
      <w:r>
        <w:rPr>
          <w:i/>
        </w:rPr>
        <w:t>T</w:t>
      </w:r>
      <w:r>
        <w:rPr>
          <w:i/>
          <w:vertAlign w:val="subscript"/>
        </w:rPr>
        <w:t>R</w:t>
      </w:r>
      <w:r>
        <w:rPr>
          <w:vertAlign w:val="subscript"/>
        </w:rPr>
        <w:t>&amp;</w:t>
      </w:r>
      <w:r>
        <w:rPr>
          <w:i/>
          <w:vertAlign w:val="subscript"/>
        </w:rPr>
        <w:t>B2</w:t>
      </w:r>
      <w:r>
        <w:rPr/>
        <w:tab/>
        <w:t>- średnia temperatura mięknienia świeżych lepiszczy asfaltowych przewidzianych do stosowania (zwykłych lub modyfikowanych polimerem PMB), [°C];</w:t>
      </w:r>
    </w:p>
    <w:p>
      <w:pPr>
        <w:pStyle w:val="Normal"/>
        <w:jc w:val="both"/>
        <w:rPr/>
      </w:pPr>
      <w:r>
        <w:rPr>
          <w:i/>
        </w:rPr>
        <w:t>a </w:t>
      </w:r>
      <w:r>
        <w:rPr/>
        <w:t>i </w:t>
      </w:r>
      <w:r>
        <w:rPr>
          <w:i/>
        </w:rPr>
        <w:t xml:space="preserve">b </w:t>
      </w:r>
      <w:r>
        <w:rPr/>
        <w:tab/>
        <w:t>- udział masowy: lepiszcza z granulatu asfaltowego (</w:t>
      </w:r>
      <w:r>
        <w:rPr>
          <w:i/>
        </w:rPr>
        <w:t>a</w:t>
      </w:r>
      <w:r>
        <w:rPr/>
        <w:t>) i świeżego lepiszcza (</w:t>
      </w:r>
      <w:r>
        <w:rPr>
          <w:i/>
        </w:rPr>
        <w:t>b</w:t>
      </w:r>
      <w:r>
        <w:rPr/>
        <w:t xml:space="preserve">), przy </w:t>
      </w:r>
      <w:r>
        <w:rPr>
          <w:i/>
        </w:rPr>
        <w:t>a </w:t>
      </w:r>
      <w:r>
        <w:rPr/>
        <w:t xml:space="preserve">+ </w:t>
      </w:r>
      <w:r>
        <w:rPr>
          <w:i/>
        </w:rPr>
        <w:t xml:space="preserve">b </w:t>
      </w:r>
      <w:r>
        <w:rPr/>
        <w:t>= 1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Dostawy materiałów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Ogólne wymagania dotyczące materiałów</w:t>
      </w:r>
    </w:p>
    <w:p>
      <w:pPr>
        <w:pStyle w:val="Normal"/>
        <w:jc w:val="both"/>
        <w:rPr/>
      </w:pPr>
      <w:r>
        <w:rPr/>
        <w:t>Ogólne wymagania dotyczące materiałów, ich pozyskiwania i składowania podano w STWiORB</w:t>
        <w:br/>
        <w:t>D-M.00.00.00. „Wymagania ogólne” pkt. 2.</w:t>
      </w:r>
    </w:p>
    <w:p>
      <w:pPr>
        <w:pStyle w:val="Normal"/>
        <w:jc w:val="both"/>
        <w:rPr/>
      </w:pPr>
      <w:r>
        <w:rPr/>
        <w:t xml:space="preserve">Do obowiązku Wykonawcy należy takie zorganizowanie dostaw materiałów do wytwarzania AC, </w:t>
        <w:br/>
        <w:t xml:space="preserve">aby zapewnić nieprzerwaną pracę otaczarki w trakcie wykonywania dziennej działki roboczej. </w:t>
        <w:br/>
        <w:t>Jakość każdej dostawy kruszywa i wypełniacza musi być potwierdzona deklaracją producenta (oznakowanie CE).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 xml:space="preserve"> </w:t>
      </w:r>
      <w:r>
        <w:rPr/>
        <w:t>Składowanie materiałów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Składowanie kruszywa</w:t>
      </w:r>
    </w:p>
    <w:p>
      <w:pPr>
        <w:pStyle w:val="Normal"/>
        <w:jc w:val="both"/>
        <w:rPr/>
      </w:pPr>
      <w:r>
        <w:rPr/>
        <w:t>Składowanie kruszywa powinno odbywać się w warunkach zabezpieczających je przedzanieczyszczeniem i zmieszaniem z innymi rodzajami lub frakcjami kruszywa.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Składowanie wypełniacza</w:t>
      </w:r>
    </w:p>
    <w:p>
      <w:pPr>
        <w:pStyle w:val="Normal"/>
        <w:jc w:val="both"/>
        <w:rPr/>
      </w:pPr>
      <w:r>
        <w:rPr/>
        <w:t>Wypełniacz należy składować w silosach wyposażonych w urządzenia do aeracji.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Składowanie asfaltu</w:t>
      </w:r>
    </w:p>
    <w:p>
      <w:pPr>
        <w:pStyle w:val="Normal"/>
        <w:jc w:val="both"/>
        <w:rPr/>
      </w:pPr>
      <w:r>
        <w:rPr/>
        <w:t xml:space="preserve">Lepiszcze asfaltowe należy przechowywać zgodnie z zasadami podanymi w pkt. 8.3 WT-2 Nawierzchnie Asfaltowe 2014. Maksymalne temperatury składowania asfaltów drogowych powinny </w:t>
        <w:br/>
        <w:t xml:space="preserve">być zgodne z tablicą 41, temperatury składowania asfaltów modyfikowanych powinny być zgodne </w:t>
        <w:br/>
        <w:t xml:space="preserve">z zaleceniami producenta. 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Składowanie środka adhezyjnego</w:t>
      </w:r>
    </w:p>
    <w:p>
      <w:pPr>
        <w:pStyle w:val="Normal"/>
        <w:jc w:val="both"/>
        <w:rPr/>
      </w:pPr>
      <w:r>
        <w:rPr/>
        <w:t xml:space="preserve">Składowanie środka adhezyjnego jest dozwolone tylko w oryginalnych opakowaniach producenta </w:t>
        <w:br/>
        <w:t>w warunkach podanych w Aprobacie Technicznej lub zgodnie z zaleceniami producenta.</w:t>
      </w:r>
    </w:p>
    <w:p>
      <w:pPr>
        <w:pStyle w:val="Normal"/>
        <w:jc w:val="both"/>
        <w:rPr/>
      </w:pPr>
      <w:r>
        <w:rPr/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>SPRZĘT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Ogólne wymagania dotyczące sprzętu</w:t>
      </w:r>
    </w:p>
    <w:p>
      <w:pPr>
        <w:pStyle w:val="Normal"/>
        <w:jc w:val="both"/>
        <w:rPr/>
      </w:pPr>
      <w:r>
        <w:rPr/>
        <w:t>Ogólne wymagania dotyczące sprzętu podano w STWiORB D-M.00.00.00. "Wymagania ogólne" pkt. 3.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Wytwórnia mieszanek mineralno-asfaltowych</w:t>
      </w:r>
    </w:p>
    <w:p>
      <w:pPr>
        <w:pStyle w:val="Normal"/>
        <w:jc w:val="both"/>
        <w:rPr/>
      </w:pPr>
      <w:r>
        <w:rPr/>
        <w:t xml:space="preserve">Produkcja mieszanki mineralno-asfaltowej powinna odbywać się na WMA o cyklicznym systemie produkcji mieszanki. WMA powinna prowadzić system ZKP (Zakładowa Kontrola Produkcji) zgodnie </w:t>
        <w:br/>
        <w:t>z wymaganiami PN-EN 13108-21, certyfikowany przez jednostkę notyfikowaną.Dozowanie wszystkich składników, w tym środka adhezyjnego powinno odbywać się wagowo.</w:t>
      </w:r>
    </w:p>
    <w:p>
      <w:pPr>
        <w:pStyle w:val="Normal"/>
        <w:jc w:val="both"/>
        <w:rPr/>
      </w:pPr>
      <w:r>
        <w:rPr/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Sprzęt do wykonywania robót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Układarka mieszanek mineralno-asfaltowych</w:t>
      </w:r>
    </w:p>
    <w:p>
      <w:pPr>
        <w:pStyle w:val="Normal"/>
        <w:jc w:val="both"/>
        <w:rPr/>
      </w:pPr>
      <w:r>
        <w:rPr/>
        <w:t>Układanie mieszanki powinno odbywa</w:t>
      </w:r>
      <w:r>
        <w:rPr>
          <w:rFonts w:eastAsia="TimesNewRoman"/>
        </w:rPr>
        <w:t xml:space="preserve">ć </w:t>
      </w:r>
      <w:r>
        <w:rPr/>
        <w:t>si</w:t>
      </w:r>
      <w:r>
        <w:rPr>
          <w:rFonts w:eastAsia="TimesNewRoman"/>
        </w:rPr>
        <w:t xml:space="preserve">ę </w:t>
      </w:r>
      <w:r>
        <w:rPr/>
        <w:t>mo</w:t>
      </w:r>
      <w:r>
        <w:rPr>
          <w:rFonts w:eastAsia="TimesNewRoman"/>
        </w:rPr>
        <w:t>ż</w:t>
      </w:r>
      <w:r>
        <w:rPr/>
        <w:t>liwie najwi</w:t>
      </w:r>
      <w:r>
        <w:rPr>
          <w:rFonts w:eastAsia="TimesNewRoman"/>
        </w:rPr>
        <w:t>ę</w:t>
      </w:r>
      <w:r>
        <w:rPr/>
        <w:t>ksz</w:t>
      </w:r>
      <w:r>
        <w:rPr>
          <w:rFonts w:eastAsia="TimesNewRoman"/>
        </w:rPr>
        <w:t xml:space="preserve">ą </w:t>
      </w:r>
      <w:r>
        <w:rPr/>
        <w:t>szeroko</w:t>
      </w:r>
      <w:r>
        <w:rPr>
          <w:rFonts w:eastAsia="TimesNewRoman"/>
        </w:rPr>
        <w:t>ś</w:t>
      </w:r>
      <w:r>
        <w:rPr/>
        <w:t>ci</w:t>
      </w:r>
      <w:r>
        <w:rPr>
          <w:rFonts w:eastAsia="TimesNewRoman"/>
        </w:rPr>
        <w:t>ą</w:t>
      </w:r>
      <w:r>
        <w:rPr/>
        <w:t>, przy u</w:t>
      </w:r>
      <w:r>
        <w:rPr>
          <w:rFonts w:eastAsia="TimesNewRoman"/>
        </w:rPr>
        <w:t>ż</w:t>
      </w:r>
      <w:r>
        <w:rPr/>
        <w:t>yciu mechanicznej układarki do układania mieszanki mineralno-asfaltowej lub zespołem układarek pracuj</w:t>
      </w:r>
      <w:r>
        <w:rPr>
          <w:rFonts w:eastAsia="TimesNewRoman"/>
        </w:rPr>
        <w:t>ą</w:t>
      </w:r>
      <w:r>
        <w:rPr/>
        <w:t>cych równolegle z przesuni</w:t>
      </w:r>
      <w:r>
        <w:rPr>
          <w:rFonts w:eastAsia="TimesNewRoman"/>
        </w:rPr>
        <w:t>ę</w:t>
      </w:r>
      <w:r>
        <w:rPr/>
        <w:t>ciem roboczym umo</w:t>
      </w:r>
      <w:r>
        <w:rPr>
          <w:rFonts w:eastAsia="TimesNewRoman"/>
        </w:rPr>
        <w:t>ż</w:t>
      </w:r>
      <w:r>
        <w:rPr/>
        <w:t>liwiaj</w:t>
      </w:r>
      <w:r>
        <w:rPr>
          <w:rFonts w:eastAsia="TimesNewRoman"/>
        </w:rPr>
        <w:t>ą</w:t>
      </w:r>
      <w:r>
        <w:rPr/>
        <w:t>cym uło</w:t>
      </w:r>
      <w:r>
        <w:rPr>
          <w:rFonts w:eastAsia="TimesNewRoman"/>
        </w:rPr>
        <w:t>ż</w:t>
      </w:r>
      <w:r>
        <w:rPr/>
        <w:t>enie stykaj</w:t>
      </w:r>
      <w:r>
        <w:rPr>
          <w:rFonts w:eastAsia="TimesNewRoman"/>
        </w:rPr>
        <w:t>ą</w:t>
      </w:r>
      <w:r>
        <w:rPr/>
        <w:t>cych si</w:t>
      </w:r>
      <w:r>
        <w:rPr>
          <w:rFonts w:eastAsia="TimesNewRoman"/>
        </w:rPr>
        <w:t xml:space="preserve">ę </w:t>
      </w:r>
      <w:r>
        <w:rPr/>
        <w:t>warstw asfaltowych na gor</w:t>
      </w:r>
      <w:r>
        <w:rPr>
          <w:rFonts w:eastAsia="TimesNewRoman"/>
        </w:rPr>
        <w:t>ą</w:t>
      </w:r>
      <w:r>
        <w:rPr/>
        <w:t>co, posiadaj</w:t>
      </w:r>
      <w:r>
        <w:rPr>
          <w:rFonts w:eastAsia="TimesNewRoman"/>
        </w:rPr>
        <w:t>ą</w:t>
      </w:r>
      <w:r>
        <w:rPr/>
        <w:t>cej nast</w:t>
      </w:r>
      <w:r>
        <w:rPr>
          <w:rFonts w:eastAsia="TimesNewRoman"/>
        </w:rPr>
        <w:t>ę</w:t>
      </w:r>
      <w:r>
        <w:rPr/>
        <w:t>puj</w:t>
      </w:r>
      <w:r>
        <w:rPr>
          <w:rFonts w:eastAsia="TimesNewRoman"/>
        </w:rPr>
        <w:t>ą</w:t>
      </w:r>
      <w:r>
        <w:rPr/>
        <w:t>ce urz</w:t>
      </w:r>
      <w:r>
        <w:rPr>
          <w:rFonts w:eastAsia="TimesNewRoman"/>
        </w:rPr>
        <w:t>ą</w:t>
      </w:r>
      <w:r>
        <w:rPr/>
        <w:t>dzenia: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automatyczne sterowanie pozwalaj</w:t>
      </w:r>
      <w:r>
        <w:rPr>
          <w:rFonts w:eastAsia="TimesNewRoman"/>
        </w:rPr>
        <w:t>ą</w:t>
      </w:r>
      <w:r>
        <w:rPr/>
        <w:t>ce na uło</w:t>
      </w:r>
      <w:r>
        <w:rPr>
          <w:rFonts w:eastAsia="TimesNewRoman"/>
        </w:rPr>
        <w:t>ż</w:t>
      </w:r>
      <w:r>
        <w:rPr/>
        <w:t>enie warstwy zgodnie z zało</w:t>
      </w:r>
      <w:r>
        <w:rPr>
          <w:rFonts w:eastAsia="TimesNewRoman"/>
        </w:rPr>
        <w:t>ż</w:t>
      </w:r>
      <w:r>
        <w:rPr/>
        <w:t>on</w:t>
      </w:r>
      <w:r>
        <w:rPr>
          <w:rFonts w:eastAsia="TimesNewRoman"/>
        </w:rPr>
        <w:t xml:space="preserve">ą </w:t>
      </w:r>
      <w:r>
        <w:rPr/>
        <w:t>niwelet</w:t>
      </w:r>
      <w:r>
        <w:rPr>
          <w:rFonts w:eastAsia="TimesNewRoman"/>
        </w:rPr>
        <w:t xml:space="preserve">ą </w:t>
        <w:br/>
      </w:r>
      <w:r>
        <w:rPr/>
        <w:t>i grubo</w:t>
      </w:r>
      <w:r>
        <w:rPr>
          <w:rFonts w:eastAsia="TimesNewRoman"/>
        </w:rPr>
        <w:t>ś</w:t>
      </w:r>
      <w:r>
        <w:rPr/>
        <w:t>ci</w:t>
      </w:r>
      <w:r>
        <w:rPr>
          <w:rFonts w:eastAsia="TimesNewRoman"/>
        </w:rPr>
        <w:t>ą</w:t>
      </w:r>
      <w:r>
        <w:rPr/>
        <w:t>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płytę wibracyjną do wstępnego zagęszczenia mieszanki,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urządzenia do podgrzewania płyty wibracyjnej.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Walce do zagęszczania</w:t>
      </w:r>
    </w:p>
    <w:p>
      <w:pPr>
        <w:pStyle w:val="PKT1"/>
        <w:numPr>
          <w:ilvl w:val="0"/>
          <w:numId w:val="0"/>
        </w:numPr>
        <w:ind w:left="567" w:hanging="0"/>
        <w:rPr>
          <w:b w:val="false"/>
          <w:b w:val="false"/>
        </w:rPr>
      </w:pPr>
      <w:r>
        <w:rPr>
          <w:b w:val="false"/>
        </w:rPr>
        <w:t xml:space="preserve">Wykonawca powinien dysponować sprzętem pozwalającym na uzyskanie wymaganego wskaźnika zagęszczenia warstwy z mieszanki mineralno-asfaltowej. 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Skrapiarki</w:t>
      </w:r>
    </w:p>
    <w:p>
      <w:pPr>
        <w:pStyle w:val="Normal"/>
        <w:ind w:left="567" w:hanging="0"/>
        <w:jc w:val="both"/>
        <w:rPr/>
      </w:pPr>
      <w:r>
        <w:rPr/>
        <w:t>Wykonawca powinien dysponować skrapiarką pozwalającą na równomierne i zgodne z wymaganiami równomierne skropienie podłoża.</w:t>
      </w:r>
    </w:p>
    <w:p>
      <w:pPr>
        <w:pStyle w:val="Normal"/>
        <w:jc w:val="both"/>
        <w:rPr/>
      </w:pPr>
      <w:r>
        <w:rPr/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 xml:space="preserve">TRANSPORT 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 xml:space="preserve"> </w:t>
      </w:r>
      <w:r>
        <w:rPr/>
        <w:t>Ogólne wymagania dotyczące transportu</w:t>
      </w:r>
    </w:p>
    <w:p>
      <w:pPr>
        <w:pStyle w:val="Normal"/>
        <w:jc w:val="both"/>
        <w:rPr/>
      </w:pPr>
      <w:r>
        <w:rPr/>
        <w:t>Ogólne wymagania dotyczące transportu podano w STWiORB D-M.00.00.00. "Wymagania ogólne" pkt. 4.</w:t>
      </w:r>
    </w:p>
    <w:p>
      <w:pPr>
        <w:pStyle w:val="Normal"/>
        <w:jc w:val="both"/>
        <w:rPr/>
      </w:pPr>
      <w:r>
        <w:rPr/>
        <w:t xml:space="preserve">Wykonawca powinien dysponować pojazdami samowyładowczymi wyposażonymi w plandeki. </w:t>
      </w:r>
    </w:p>
    <w:p>
      <w:pPr>
        <w:pStyle w:val="Normal"/>
        <w:jc w:val="both"/>
        <w:rPr/>
      </w:pPr>
      <w:r>
        <w:rPr/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>WYKONANIE ROBÓT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Ogólne zasady wykonania Robót</w:t>
      </w:r>
    </w:p>
    <w:p>
      <w:pPr>
        <w:pStyle w:val="Normal"/>
        <w:jc w:val="both"/>
        <w:rPr/>
      </w:pPr>
      <w:r>
        <w:rPr/>
        <w:t>Ogólne zasady wykonania Robót podano w STWiORB D-M.00.00.00. „Wymagania ogólne” pkt. 5.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Projektowanie mieszanki mineralno-asfaltowej.</w:t>
      </w:r>
    </w:p>
    <w:p>
      <w:pPr>
        <w:pStyle w:val="Normal"/>
        <w:jc w:val="both"/>
        <w:rPr/>
      </w:pPr>
      <w:r>
        <w:rPr/>
        <w:t xml:space="preserve">MMA powinna być tak zaprojektowana, aby spełniać wymagania dla AC 22P podane w pkt. 8.2.1 WT-2 Nawierzchnie Asfaltowe 2014 w zależności od kategorii ruchu.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Wytwarzanie MMA</w:t>
      </w:r>
    </w:p>
    <w:p>
      <w:pPr>
        <w:pStyle w:val="Normal"/>
        <w:jc w:val="both"/>
        <w:rPr/>
      </w:pPr>
      <w:r>
        <w:rPr/>
        <w:t xml:space="preserve">Produkcja MMA powinna odbywać się na WMA o cyklicznym systemie produkcji mieszanki, zgodnie </w:t>
        <w:br/>
        <w:t xml:space="preserve">z wymaganiami opisanymi w p. 3.1. Dozowanie wszystkich składników, w tym środka adhezyjnego, powinno odbywać się wagowo. Temperatury technologiczne wytwarzania MMA powinny być zgodne </w:t>
        <w:br/>
        <w:t xml:space="preserve">z wymaganiami podanymi w p. 8.3 WT-2 2014 Nawierzchnie Asfaltowe (Tablica 42) lub zgodnie </w:t>
        <w:br/>
        <w:t>z zalecaniami producenta. Mieszankę MMA zaleca się wbudowywać bezpośrednio po wyprodukowaniu bez magazynowania na zapas. Przechowywanie wyprodukowanej MMA w silosie może mieć miejsce tylko w sytuacjach awaryjnych.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Przygotowanie podłoża</w:t>
      </w:r>
    </w:p>
    <w:p>
      <w:pPr>
        <w:pStyle w:val="Normal"/>
        <w:jc w:val="both"/>
        <w:rPr/>
      </w:pPr>
      <w:r>
        <w:rPr/>
        <w:t>Podłoże pod warstwę podbudowy z MMA powinno spełniać wymagania pkt. 7.2 WT-2 część II Nawierzchnie Asfaltowe 2016. Warstwę podłoża pod warstwę podbudowy z MMA należy skropić emulsją asfaltową zgodnie z STWiORB D.04.03.01.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Brzegi krawężników i innych urządzeń przylegających do nawierzchni powinny być posmarowane gorącym asfaltem lub asfaltem modyfikowanym (w zależności od rodzaju asfaltu użytego w mieszance MMA) lub oklejone taśmą bitumiczną.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Warunki atmosferyczne</w:t>
      </w:r>
    </w:p>
    <w:p>
      <w:pPr>
        <w:pStyle w:val="Normal"/>
        <w:jc w:val="both"/>
        <w:rPr/>
      </w:pPr>
      <w:r>
        <w:rPr/>
        <w:t>Warstwa nawierzchni z MMA powinna być układana w temperaturze nie mniejszej niż +5</w:t>
      </w:r>
      <w:r>
        <w:rPr>
          <w:vertAlign w:val="superscript"/>
        </w:rPr>
        <w:t>o</w:t>
      </w:r>
      <w:r>
        <w:rPr/>
        <w:t xml:space="preserve">C. </w:t>
      </w:r>
    </w:p>
    <w:p>
      <w:pPr>
        <w:pStyle w:val="Normal"/>
        <w:jc w:val="both"/>
        <w:rPr/>
      </w:pPr>
      <w:r>
        <w:rPr/>
        <w:t>Nie dopuszcza się układania mma podczas opadów atmosferycznych i silnego wiatru przekraczającego 16m/s.</w:t>
      </w:r>
    </w:p>
    <w:p>
      <w:pPr>
        <w:pStyle w:val="Normal"/>
        <w:jc w:val="both"/>
        <w:rPr/>
      </w:pPr>
      <w:r>
        <w:rPr/>
        <w:t>Temperatura powietrza powinna być mierzona co najmniej 3 razy dziennie: przed przystąpieniem do robót, oraz podczas ich wykonywania w okresach równomiernie rozłożonych w planowanym czasie realizacji dziennej działki roboczej.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Próba technologiczna</w:t>
      </w:r>
    </w:p>
    <w:p>
      <w:pPr>
        <w:pStyle w:val="Normal"/>
        <w:jc w:val="both"/>
        <w:rPr/>
      </w:pPr>
      <w:r>
        <w:rPr/>
        <w:t>Na żądanie Inżyniera należy wykonać próbę technologiczną. Nie dopuszcza się oceniania dokładności pracy otaczarki oraz prawidłowości składu mieszanki mineralnej na podstawie tzw. suchego zarobu, z uwagi na segregację kruszywa.</w:t>
      </w:r>
    </w:p>
    <w:p>
      <w:pPr>
        <w:pStyle w:val="Normal"/>
        <w:jc w:val="both"/>
        <w:rPr/>
      </w:pPr>
      <w:r>
        <w:rPr/>
        <w:t xml:space="preserve"> </w:t>
      </w:r>
      <w:r>
        <w:rPr/>
        <w:t>Tolerancje zawartości składników MMA względem składu zaprojektowanego powinny być zgodne z wymaganiami podanymi w pkt. 6.2 niniejszejSTWiORB.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Odcinek próbny</w:t>
      </w:r>
    </w:p>
    <w:p>
      <w:pPr>
        <w:pStyle w:val="Normal"/>
        <w:jc w:val="both"/>
        <w:rPr/>
      </w:pPr>
      <w:r>
        <w:rPr/>
        <w:t>Na żądanie Inżyniera, Wykonawca powinien wykonać odcinek próbny o długości przynajmniej 100m na całej szerokości jednej jezdni. Wykonawca powinien wykonać odcinek próbny w celu: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zdefiniowania parametrów produkcyjnych MMA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sprawdzenia czy sprzęt użyty do rozkładania i zagęszczania mieszanki jest właściwy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określenia grubości warstwy mieszanki mineralno-asfaltowej przed zagęszczeniem, koniecznej do uzyskania wymaganej ostatecznej grubości warstwy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 xml:space="preserve">określenia potrzebnej liczby przejść walców dla uzyskania prawidłowego zagęszczenia warstwy. </w:t>
      </w:r>
    </w:p>
    <w:p>
      <w:pPr>
        <w:pStyle w:val="Normal"/>
        <w:jc w:val="both"/>
        <w:rPr/>
      </w:pPr>
      <w:r>
        <w:rPr/>
        <w:t xml:space="preserve">Do wykonania odcinka próbnego, Wykonawca powinien zastosować takie same materiały oraz sprzęt, jakie będą stosowane do wykonania warstwy z MMA podczas robót. Lokalizacja odcinka próbnego zostanie przedstawiona Inżynierowi. Wykonawca rozpocznie wykonywanie nawierzchni z MMA po przekazaniu pozytywnych wyników badań Inżynierowi. 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Wbudowywanie mieszanki MMA</w:t>
      </w:r>
    </w:p>
    <w:p>
      <w:pPr>
        <w:pStyle w:val="Normal"/>
        <w:jc w:val="both"/>
        <w:rPr/>
      </w:pPr>
      <w:r>
        <w:rPr/>
        <w:t xml:space="preserve">Transport, wbudowanie i zagęszczanie warstwy z MMA powinno odbywać się zgodnie z wymaganiami podanymi w p. 7 WT-2 2016, część II. Układanie MMA może odbywać się tylko przy użyciu mechanicznej układarki. Dopuszcza się układanie warstwy bitumiczne o mniejszej szerokości jeżeli jest to wymuszone technologią robót lub utrzymaniem jednostronnego ruchu pojazdów. </w:t>
      </w:r>
    </w:p>
    <w:p>
      <w:pPr>
        <w:pStyle w:val="Normal"/>
        <w:jc w:val="both"/>
        <w:rPr/>
      </w:pPr>
      <w:r>
        <w:rPr/>
        <w:t>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 i ogumionymi.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ab/>
        <w:t>Połączenia technologiczne</w:t>
      </w:r>
    </w:p>
    <w:p>
      <w:pPr>
        <w:pStyle w:val="Normal"/>
        <w:jc w:val="both"/>
        <w:rPr/>
      </w:pPr>
      <w:r>
        <w:rPr/>
        <w:t>Połączenia technologiczne powinny być wykonane zgodnie z pkt. 7.6 WT-2 2016część II.Odcinanie krawędzi dziennych działek roboczych powinno odbywać się na gorąco, długość odciętego końcowego powinna wynosić do 3m. W przypadku, gdy z przyczyn technologicznych nie jest możliwe wykonanie odcięcia „na ciepło” dopuszcza się, odfrezowanie (w ostateczności odcięcie na zimno) końcowego odcinka wykonanej warstwy z mieszanki mineralno-asfaltowej. Należy również pamiętać, aby poprzeczne spoiny/złącza technologiczne w poszczególnych warstwach nawierzchni asfaltowej, które składają się na wielowarstwową konstrukcję nawierzchni, były przesunięte względem siebie, najlepiej o co najmniej 3 m.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eastAsia="Calibri" w:cs="Times New Roman"/>
          <w:b/>
          <w:b/>
          <w:szCs w:val="22"/>
          <w:lang w:eastAsia="en-US"/>
        </w:rPr>
      </w:pPr>
      <w:r>
        <w:rPr>
          <w:b/>
        </w:rPr>
        <w:t xml:space="preserve">      </w:t>
      </w:r>
      <w:r>
        <w:rPr>
          <w:b/>
        </w:rPr>
        <w:t>5</w:t>
      </w:r>
      <w:r>
        <w:rPr>
          <w:rFonts w:eastAsia="Calibri" w:cs="Times New Roman"/>
          <w:b/>
          <w:szCs w:val="22"/>
          <w:lang w:eastAsia="en-US"/>
        </w:rPr>
        <w:t>.1.9           Krawędzie zewnętrzne</w:t>
      </w:r>
    </w:p>
    <w:p>
      <w:pPr>
        <w:pStyle w:val="Normal"/>
        <w:jc w:val="both"/>
        <w:rPr/>
      </w:pPr>
      <w:r>
        <w:rPr>
          <w:rFonts w:eastAsia="Calibri" w:cs="Times New Roman"/>
          <w:szCs w:val="22"/>
          <w:lang w:eastAsia="en-US"/>
        </w:rPr>
        <w:t>Krawędzie zewnętrzne warstwy podbudowy powinny być wykonane zgodnie z zasadami podanymi w pkt.7.7. WT-2 2016 część II</w:t>
      </w:r>
      <w:bookmarkStart w:id="10" w:name="_Hlk516049930"/>
      <w:bookmarkEnd w:id="10"/>
    </w:p>
    <w:p>
      <w:pPr>
        <w:pStyle w:val="Normal"/>
        <w:jc w:val="both"/>
        <w:rPr/>
      </w:pPr>
      <w:r>
        <w:rPr/>
      </w:r>
    </w:p>
    <w:p>
      <w:pPr>
        <w:pStyle w:val="PKT1"/>
        <w:numPr>
          <w:ilvl w:val="0"/>
          <w:numId w:val="1"/>
        </w:numPr>
        <w:ind w:left="567" w:hanging="567"/>
        <w:jc w:val="both"/>
        <w:rPr>
          <w:bCs/>
        </w:rPr>
      </w:pPr>
      <w:r>
        <w:rPr/>
        <w:tab/>
        <w:t>KONTROLA JAKOŚCI ROBÓT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Ogólne zasady kontroli jakości Robót</w:t>
      </w:r>
    </w:p>
    <w:p>
      <w:pPr>
        <w:pStyle w:val="Normal"/>
        <w:jc w:val="both"/>
        <w:rPr/>
      </w:pPr>
      <w:r>
        <w:rPr/>
        <w:t>Ogólne zasady kontroli jakości Robót podano w STWiORB D-M.00.00.00. "Wymagania ogólne" pkt. 6.</w:t>
      </w:r>
    </w:p>
    <w:p>
      <w:pPr>
        <w:pStyle w:val="Normal"/>
        <w:jc w:val="both"/>
        <w:rPr/>
      </w:pPr>
      <w:r>
        <w:rPr/>
        <w:t>Badania mieszanki mineralno-asfaltowej należy wykonywać zgodnie z normami podanymi w pkt. 8.2.1 WT-2 2014 Nawierzchnie Asfaltowe (Tablica 8).</w:t>
      </w:r>
    </w:p>
    <w:p>
      <w:pPr>
        <w:pStyle w:val="Normal"/>
        <w:widowControl/>
        <w:spacing w:lineRule="auto" w:line="259" w:before="0" w:after="160"/>
        <w:rPr>
          <w:rFonts w:eastAsia="Calibri" w:cs="Times New Roman"/>
          <w:b/>
          <w:b/>
          <w:szCs w:val="22"/>
          <w:lang w:eastAsia="en-US"/>
        </w:rPr>
      </w:pPr>
      <w:r>
        <w:rPr>
          <w:rFonts w:eastAsia="Calibri" w:cs="Times New Roman"/>
          <w:b/>
          <w:szCs w:val="22"/>
          <w:lang w:eastAsia="en-US"/>
        </w:rPr>
      </w:r>
      <w:r>
        <w:br w:type="page"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Badania i pomiary przed przystąpieniem do robót</w:t>
      </w:r>
    </w:p>
    <w:p>
      <w:pPr>
        <w:pStyle w:val="Normal"/>
        <w:jc w:val="both"/>
        <w:rPr/>
      </w:pPr>
      <w:r>
        <w:rPr/>
        <w:t>Przed przystąpieniem do robót Wykonawca powinien przedstawić Inżynierowi do akceptacji źródła poboru kruszyw oraz wszystkich dodatkowych materiałów, dołączając wszystkie dokumenty potwierdzające jakość materiałów składowych.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Badania w czasie robót</w:t>
      </w:r>
    </w:p>
    <w:p>
      <w:pPr>
        <w:pStyle w:val="Normal"/>
        <w:jc w:val="both"/>
        <w:rPr>
          <w:bCs/>
          <w:color w:val="FF0000"/>
          <w:w w:val="90"/>
        </w:rPr>
      </w:pPr>
      <w:r>
        <w:rPr>
          <w:w w:val="90"/>
        </w:rPr>
        <w:t xml:space="preserve">Tablica 7Zakres oraz częstość badań i pomiarów w czasie wytwarzania i wbudowywania mieszanki </w:t>
      </w:r>
    </w:p>
    <w:tbl>
      <w:tblPr>
        <w:tblW w:w="928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1"/>
        <w:gridCol w:w="4265"/>
        <w:gridCol w:w="4502"/>
      </w:tblGrid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Lp.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Właściwość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Częstość badań</w:t>
            </w:r>
          </w:p>
        </w:tc>
      </w:tr>
      <w:tr>
        <w:trPr/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Badania materiałów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1.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Uziarnienie kruszywa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2000 ton dla każdej frakcji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2.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Uziarnienie wypełniacza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200 ton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3.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Właściwości asfaltu</w:t>
            </w:r>
          </w:p>
          <w:p>
            <w:pPr>
              <w:pStyle w:val="Normal"/>
              <w:spacing w:before="40" w:after="40"/>
              <w:jc w:val="both"/>
              <w:rPr/>
            </w:pPr>
            <w:r>
              <w:rPr/>
              <w:t>- Penetracja w 25°C lub temperatura mięknienia wg PIK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300 ton</w:t>
            </w:r>
          </w:p>
        </w:tc>
      </w:tr>
      <w:tr>
        <w:trPr/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Badania mieszanki mineralno-asfaltowej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4.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Temperatura składników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Nadzór ciągły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5.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Temperatura mieszanki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Każdy samochód przy załadunku i w czasie wbudowania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6.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Zawartość asfaltu rozpuszczalnego w mieszance mineralno-asfaltowej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1000 ton wyprodukowanej mma, przynajmniej raz dziennie w trakcie produkcji mma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7.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Uziarnienie mieszanki mineralno-asfaltowej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1000 ton wyprodukowanej mma, przynajmniej raz dziennie w trakcie produkcji mma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8.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Zawartość wolnych przestrzeni w próbkach Marshalla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1 raz na 1000 ton wyprodukowanej mma, przynajmniej raz dziennie w trakcie produkcji mma</w:t>
            </w:r>
          </w:p>
        </w:tc>
      </w:tr>
      <w:tr>
        <w:trPr/>
        <w:tc>
          <w:tcPr>
            <w:tcW w:w="9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Badania po wykonaniu warstwy podbudowy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9.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Grubość warstwy, wskaźnik zagęszczenia warstwy, wolna przestrzeń w warstwie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 próbki na 1 km jezdni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>
                <w:w w:val="90"/>
              </w:rPr>
            </w:pPr>
            <w:r>
              <w:rPr>
                <w:w w:val="90"/>
              </w:rPr>
              <w:t>10.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Wytrzymałość na ścinanie połączeń między warstwami (podbudowa/podbudowa)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jc w:val="both"/>
              <w:rPr/>
            </w:pPr>
            <w:r>
              <w:rPr/>
              <w:t>2 próbki na 1 km jezdni</w:t>
            </w:r>
          </w:p>
        </w:tc>
      </w:tr>
    </w:tbl>
    <w:p>
      <w:pPr>
        <w:pStyle w:val="PKT3"/>
        <w:numPr>
          <w:ilvl w:val="2"/>
          <w:numId w:val="1"/>
        </w:numPr>
        <w:ind w:left="1134" w:hanging="774"/>
        <w:rPr/>
      </w:pPr>
      <w:r>
        <w:rPr/>
        <w:t>Zawartość lepiszcza rozpuszczalnego</w:t>
      </w:r>
    </w:p>
    <w:p>
      <w:pPr>
        <w:pStyle w:val="Normal"/>
        <w:jc w:val="both"/>
        <w:rPr/>
      </w:pPr>
      <w:r>
        <w:rPr/>
        <w:t>Badanie polega na wykonaniu ekstrakcji lepiszcza, zgodnie PN-EN 12697-1, z próbki pobranej z mieszanki mineralno-asfaltowej. Zawarto</w:t>
      </w:r>
      <w:r>
        <w:rPr>
          <w:rFonts w:eastAsia="TimesNewRoman"/>
        </w:rPr>
        <w:t xml:space="preserve">ść </w:t>
      </w:r>
      <w:r>
        <w:rPr/>
        <w:t>rozpuszczalnego lepiszcza z ka</w:t>
      </w:r>
      <w:r>
        <w:rPr>
          <w:rFonts w:eastAsia="TimesNewRoman"/>
        </w:rPr>
        <w:t>ż</w:t>
      </w:r>
      <w:r>
        <w:rPr/>
        <w:t>dej pobranej próbki nie mo</w:t>
      </w:r>
      <w:r>
        <w:rPr>
          <w:rFonts w:eastAsia="TimesNewRoman"/>
        </w:rPr>
        <w:t>ż</w:t>
      </w:r>
      <w:r>
        <w:rPr/>
        <w:t>e odbiega</w:t>
      </w:r>
      <w:r>
        <w:rPr>
          <w:rFonts w:eastAsia="TimesNewRoman"/>
        </w:rPr>
        <w:t xml:space="preserve">ć </w:t>
      </w:r>
      <w:r>
        <w:rPr/>
        <w:t>od warto</w:t>
      </w:r>
      <w:r>
        <w:rPr>
          <w:rFonts w:eastAsia="TimesNewRoman"/>
        </w:rPr>
        <w:t>ś</w:t>
      </w:r>
      <w:r>
        <w:rPr/>
        <w:t>ci projektowanej, z uwzgl</w:t>
      </w:r>
      <w:r>
        <w:rPr>
          <w:rFonts w:eastAsia="TimesNewRoman"/>
        </w:rPr>
        <w:t>ę</w:t>
      </w:r>
      <w:r>
        <w:rPr/>
        <w:t>dnieniem dopuszczalnej odchyłki ±0,3%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Uziarnienie mieszanki mineralnej</w:t>
      </w:r>
    </w:p>
    <w:p>
      <w:pPr>
        <w:pStyle w:val="Normal"/>
        <w:jc w:val="both"/>
        <w:rPr/>
      </w:pPr>
      <w:r>
        <w:rPr/>
        <w:t>Po wykonaniu ekstrakcji lepiszcza nale</w:t>
      </w:r>
      <w:r>
        <w:rPr>
          <w:rFonts w:eastAsia="TimesNewRoman"/>
        </w:rPr>
        <w:t>ż</w:t>
      </w:r>
      <w:r>
        <w:rPr/>
        <w:t>y przeprowadzi</w:t>
      </w:r>
      <w:r>
        <w:rPr>
          <w:rFonts w:eastAsia="TimesNewRoman"/>
        </w:rPr>
        <w:t xml:space="preserve">ć </w:t>
      </w:r>
      <w:r>
        <w:rPr/>
        <w:t>kontrol</w:t>
      </w:r>
      <w:r>
        <w:rPr>
          <w:rFonts w:eastAsia="TimesNewRoman"/>
        </w:rPr>
        <w:t xml:space="preserve">ę </w:t>
      </w:r>
      <w:r>
        <w:rPr/>
        <w:t>uziarnienia mieszanki kruszywa mineralnego wg 12697-2. Uziarnienie ka</w:t>
      </w:r>
      <w:r>
        <w:rPr>
          <w:rFonts w:eastAsia="TimesNewRoman"/>
        </w:rPr>
        <w:t>ż</w:t>
      </w:r>
      <w:r>
        <w:rPr/>
        <w:t>dej próbki pobranej z lu</w:t>
      </w:r>
      <w:r>
        <w:rPr>
          <w:rFonts w:eastAsia="TimesNewRoman"/>
        </w:rPr>
        <w:t>ź</w:t>
      </w:r>
      <w:r>
        <w:rPr/>
        <w:t>nej mieszanki mineralno-asfaltowej nie mo</w:t>
      </w:r>
      <w:r>
        <w:rPr>
          <w:rFonts w:eastAsia="TimesNewRoman"/>
        </w:rPr>
        <w:t>ż</w:t>
      </w:r>
      <w:r>
        <w:rPr/>
        <w:t>e odbiega</w:t>
      </w:r>
      <w:r>
        <w:rPr>
          <w:rFonts w:eastAsia="TimesNewRoman"/>
        </w:rPr>
        <w:t xml:space="preserve">ć </w:t>
      </w:r>
      <w:r>
        <w:rPr/>
        <w:t>od warto</w:t>
      </w:r>
      <w:r>
        <w:rPr>
          <w:rFonts w:eastAsia="TimesNewRoman"/>
        </w:rPr>
        <w:t>ś</w:t>
      </w:r>
      <w:r>
        <w:rPr/>
        <w:t>ci projektowanych z uwzgl</w:t>
      </w:r>
      <w:r>
        <w:rPr>
          <w:rFonts w:eastAsia="TimesNewRoman"/>
        </w:rPr>
        <w:t>ę</w:t>
      </w:r>
      <w:r>
        <w:rPr/>
        <w:t>dnieniem dopuszczalnych odchyłek podanych poniżej.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 xml:space="preserve">ci kruszywa </w:t>
        <w:br/>
        <w:t>o wymiarze &lt;0,063 mm, ±2,0% (dla KR 1-2)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 xml:space="preserve">ci kruszywa </w:t>
        <w:br/>
        <w:t>o wymiarze &lt;0,063 mm, ±1,5% (dla ≥ KR 3)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>ci kruszywa drobnego o wymiarze &lt;0,125 mm, ±2%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>ci kruszywa drobnego o wymiarze &lt;2 mm, ± 3%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wyniku, zawarto</w:t>
      </w:r>
      <w:r>
        <w:rPr>
          <w:rFonts w:eastAsia="TimesNewRoman"/>
        </w:rPr>
        <w:t>ś</w:t>
      </w:r>
      <w:r>
        <w:rPr/>
        <w:t xml:space="preserve">ci kruszywa grubego </w:t>
        <w:br/>
        <w:t>o wymiarze D/2 lub sito charakterystyczne dla kruszywa grubego, ±3%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 xml:space="preserve">ci ziaren grubych </w:t>
        <w:br/>
        <w:t>D ±3%. (mieszanki drobnoziarniste ≤16mm)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Dopuszczalne odchyłki dotycz</w:t>
      </w:r>
      <w:r>
        <w:rPr>
          <w:rFonts w:eastAsia="TimesNewRoman"/>
        </w:rPr>
        <w:t>ą</w:t>
      </w:r>
      <w:r>
        <w:rPr/>
        <w:t>ce pojedynczego wyniku badania, zawarto</w:t>
      </w:r>
      <w:r>
        <w:rPr>
          <w:rFonts w:eastAsia="TimesNewRoman"/>
        </w:rPr>
        <w:t>ś</w:t>
      </w:r>
      <w:r>
        <w:rPr/>
        <w:t xml:space="preserve">ci ziaren grubych </w:t>
        <w:br/>
        <w:t>D ±4%. (mieszanki gruboziarniste &gt;16 mm)</w:t>
      </w:r>
    </w:p>
    <w:p>
      <w:pPr>
        <w:pStyle w:val="Normal"/>
        <w:jc w:val="both"/>
        <w:rPr/>
      </w:pPr>
      <w:r>
        <w:rPr/>
        <w:t>Wymagania dotyczące udziału kruszywa grubego, drobnego i wypełniacza powinny być spełnionejednocześnie.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Zawartość wolnych przestrzeni w mieszance MMA</w:t>
      </w:r>
    </w:p>
    <w:p>
      <w:pPr>
        <w:pStyle w:val="Normal"/>
        <w:spacing w:before="0" w:after="200"/>
        <w:jc w:val="both"/>
        <w:rPr/>
      </w:pPr>
      <w:r>
        <w:rPr/>
        <w:t>Zawartość wolnych przestrzeni w próbkach Marshalla oblicza się zgodnie z PN-EN 12697-8. Zawartość wolnych przestrzeni nie może przekroczyć wartości podanych w WT-2 2014 (Tablica  8).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Pomiar grubości warstwy wg PN-EN 12697-36</w:t>
      </w:r>
    </w:p>
    <w:p>
      <w:pPr>
        <w:pStyle w:val="Normal"/>
        <w:jc w:val="both"/>
        <w:rPr/>
      </w:pPr>
      <w:r>
        <w:rPr/>
        <w:t>Grubości wykonanej warstwy należy określać na wyciętych próbkach (nie wycinać próbek na obiektach mostowych wiertnicą mechaniczną) z częstością 2 próbki na 1 km. Tolerancja dla grubości warstwy może wynosić ± 10% grubości projektowanej, lecz nie więcej niż ± 1 cm.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 xml:space="preserve">Wskaźnik zagęszczenia warstwy wg PN-EN 13108-20 załącznik C4. </w:t>
      </w:r>
    </w:p>
    <w:p>
      <w:pPr>
        <w:pStyle w:val="Normal"/>
        <w:jc w:val="both"/>
        <w:rPr/>
      </w:pPr>
      <w:r>
        <w:rPr/>
        <w:t xml:space="preserve">Wskaźnik zagęszczenia warstwy należy sprawdzać na próbkach wyciętych z zagęszczonej warstwy </w:t>
        <w:br/>
        <w:t xml:space="preserve">z częstością podaną w pkt. 6.1.2. Wskaźnik zagęszczenia nie może być niższy niż 98,0%. Wykonawca wytnie próbki na każde życzenie Inżyniera w miejscach wątpliwych </w:t>
        <w:br/>
        <w:t>przez niego wskazanych.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Wolna przestrzeń w zagęszczonej warstwie wg PN-EN 12697-8.</w:t>
      </w:r>
    </w:p>
    <w:p>
      <w:pPr>
        <w:pStyle w:val="Normal"/>
        <w:jc w:val="both"/>
        <w:rPr/>
      </w:pPr>
      <w:r>
        <w:rPr/>
        <w:t>Do obliczenia wolnej przestrzeni w warstwie należy przyjmować gęstość mieszanki mineralno-asfaltowej oznaczonej w dniu wykonywania kontrolowanej działki roboczej. Zawartość wolnej przestrzeni w warstwie powinna mieścić się w granicach dla  dla KR≥3 3,0-8,0%. Zawartość wolnej przestrzeni w warstwie należy sprawdzać z częstością podaną w pkt. 6.1.2.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Wytrzymałość na ścinanie połączeń międzywarstwowych.</w:t>
      </w:r>
    </w:p>
    <w:p>
      <w:pPr>
        <w:pStyle w:val="Normal"/>
        <w:jc w:val="both"/>
        <w:rPr/>
      </w:pPr>
      <w:r>
        <w:rPr/>
        <w:t>Badanie szczepnościmiędzywarstwowej należy wykonać wg metody Leutnera na próbkach Ø 150±2mm zgodnie z Zeszytem IBDiM nr 66. Wymagana wartość wynosi nie mniej niż 0,7 MPa. Dopuszcza się też inne sprawdzone metody badania szczepności, przy czym metodą referencyjną jest metoda Leutnera.</w:t>
      </w:r>
    </w:p>
    <w:p>
      <w:pPr>
        <w:pStyle w:val="Normal"/>
        <w:jc w:val="both"/>
        <w:rPr/>
      </w:pPr>
      <w:r>
        <w:rPr/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Badania cech geometrycznych warstwy z MMA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Częstość oraz zakres badań i pomiarów</w:t>
      </w:r>
    </w:p>
    <w:p>
      <w:pPr>
        <w:pStyle w:val="Normal"/>
        <w:spacing w:before="120" w:after="120"/>
        <w:jc w:val="both"/>
        <w:rPr/>
      </w:pPr>
      <w:r>
        <w:rPr/>
      </w:r>
    </w:p>
    <w:p>
      <w:pPr>
        <w:pStyle w:val="Normal"/>
        <w:spacing w:before="120" w:after="120"/>
        <w:jc w:val="both"/>
        <w:rPr/>
      </w:pPr>
      <w:r>
        <w:rPr/>
        <w:t>Częstość oraz zakres badań i pomiarów podano w tablicy 8</w:t>
      </w:r>
    </w:p>
    <w:tbl>
      <w:tblPr>
        <w:tblStyle w:val="Tabela-Siatka"/>
        <w:tblW w:w="9180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93"/>
        <w:gridCol w:w="3968"/>
        <w:gridCol w:w="4219"/>
      </w:tblGrid>
      <w:tr>
        <w:trPr>
          <w:trHeight w:val="380" w:hRule="atLeast"/>
        </w:trPr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Lp.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Badana cecha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Minimalna częstość badań i pomiarów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 xml:space="preserve">Szerokość warstwy 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10 razy na 1 km jezdni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2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Równość podłużna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Należy stosować metodę z wykorzystaniem łaty 4-metrowej i klina lub metodę równoważną użyciu łaty i klina (planograf). Pomiar wykonać należy nie rzadziej niż co 50 m na każdym pasie ruchu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3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 xml:space="preserve">Równość poprzeczna 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Należy stosować metodę pomiaru profilometrycznego, oznaczenie wyznaczać z krokiem co 1 m. Gdy nie ma możliwości wykonania pomiaru profilografem pomiar należy wykonać metodą równoważną metodzie z wykorzystaniem łaty i klina nie rzadziej niż co 5 m.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4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Spadki poprzeczne*)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Nie rzadziej niż co 20 m jezdni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5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Rzędne wysokościowe (oś podłużna i</w:t>
            </w:r>
          </w:p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krawędzie)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+0 / -1 cm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6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Złącza podłużne i poprzeczne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każde złącze (ocena wizualna)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7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Wygląd warstwy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ocena wizualna</w:t>
            </w:r>
          </w:p>
        </w:tc>
      </w:tr>
      <w:tr>
        <w:trPr/>
        <w:tc>
          <w:tcPr>
            <w:tcW w:w="993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8</w:t>
            </w:r>
          </w:p>
        </w:tc>
        <w:tc>
          <w:tcPr>
            <w:tcW w:w="3968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Ukształtowanie osi w planie*)</w:t>
            </w:r>
          </w:p>
        </w:tc>
        <w:tc>
          <w:tcPr>
            <w:tcW w:w="4219" w:type="dxa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co 100 m jezdni</w:t>
            </w:r>
          </w:p>
        </w:tc>
      </w:tr>
      <w:tr>
        <w:trPr/>
        <w:tc>
          <w:tcPr>
            <w:tcW w:w="9180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*)Dodatkowe pomiary spadków poprzecznych i ukształtowania osi w planie należy wykonać w punktach głównych łuków poziomych.</w:t>
            </w:r>
          </w:p>
        </w:tc>
      </w:tr>
    </w:tbl>
    <w:p>
      <w:pPr>
        <w:pStyle w:val="PKT3"/>
        <w:numPr>
          <w:ilvl w:val="2"/>
          <w:numId w:val="1"/>
        </w:numPr>
        <w:ind w:left="1134" w:hanging="774"/>
        <w:rPr/>
      </w:pPr>
      <w:r>
        <w:rPr/>
        <w:t xml:space="preserve">       </w:t>
      </w:r>
      <w:r>
        <w:rPr/>
        <w:t>Szerokość warstwy</w:t>
      </w:r>
    </w:p>
    <w:p>
      <w:pPr>
        <w:pStyle w:val="Normal"/>
        <w:jc w:val="both"/>
        <w:rPr/>
      </w:pPr>
      <w:r>
        <w:rPr/>
        <w:t>Szerokość wykonanej warstwy powinna być zgodna z szerokością projektowaną z tolerancją + 10/-5 cm. Wymaga się, aby co najmniej 95% wykonanych pomiarów nie przekraczało dopuszczalnego odchylenia.</w:t>
      </w:r>
    </w:p>
    <w:p>
      <w:pPr>
        <w:pStyle w:val="Normal"/>
        <w:jc w:val="both"/>
        <w:rPr/>
      </w:pPr>
      <w:r>
        <w:rPr/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 xml:space="preserve">       </w:t>
      </w:r>
      <w:r>
        <w:rPr/>
        <w:t>Równość podłużna i poprzeczna warstwy</w:t>
      </w:r>
    </w:p>
    <w:p>
      <w:pPr>
        <w:pStyle w:val="Normal"/>
        <w:jc w:val="both"/>
        <w:rPr/>
      </w:pPr>
      <w:r>
        <w:rPr/>
        <w:t xml:space="preserve">A. </w:t>
      </w:r>
      <w:bookmarkStart w:id="11" w:name="_Hlk516048935"/>
      <w:r>
        <w:rPr/>
        <w:t xml:space="preserve">Pomiar równości podłużnej nawierzchni </w:t>
      </w:r>
      <w:bookmarkEnd w:id="11"/>
    </w:p>
    <w:p>
      <w:pPr>
        <w:pStyle w:val="Normal"/>
        <w:jc w:val="both"/>
        <w:rPr/>
      </w:pPr>
      <w:r>
        <w:rPr/>
        <w:t>Do oceny równości podłużnej warstwy podbudowy drogi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Pomiary należy wykonywać wśrodku każdego ocenianego pasa ruchu.Prędkość planografuw czasie pomiaru nie powinna przekraczać 15 km/h.Wymagana równość podłużna jest określona przez maksymalne dopuszczalne wartości odchyleń dla warstwy podbudowy, podane w Tablicy 9.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Tablica 9. Dopuszczalne wartości odchyleń dla warstwy podbudowy</w:t>
      </w:r>
    </w:p>
    <w:tbl>
      <w:tblPr>
        <w:tblStyle w:val="Tabela-Siatka"/>
        <w:tblW w:w="928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065"/>
        <w:gridCol w:w="3111"/>
        <w:gridCol w:w="3112"/>
      </w:tblGrid>
      <w:tr>
        <w:trPr/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Klasa drogi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Element nawierzchni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Dopuszczalne wartości odchyleń równości podłużnej warstwy podbudowy [mm]</w:t>
            </w:r>
          </w:p>
        </w:tc>
      </w:tr>
      <w:tr>
        <w:trPr/>
        <w:tc>
          <w:tcPr>
            <w:tcW w:w="3065" w:type="dxa"/>
            <w:vMerge w:val="restart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A, S, GP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Pasy ruchu zasadnicze, awaryjne, dodatkowe, włącznie i wyłączenia, jezdnie łącznic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9</w:t>
            </w:r>
          </w:p>
        </w:tc>
      </w:tr>
      <w:tr>
        <w:trPr/>
        <w:tc>
          <w:tcPr>
            <w:tcW w:w="3065" w:type="dxa"/>
            <w:vMerge w:val="continue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Jezdnie MOP, utwardzone pobocza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12</w:t>
            </w:r>
          </w:p>
        </w:tc>
      </w:tr>
      <w:tr>
        <w:trPr>
          <w:trHeight w:val="736" w:hRule="atLeast"/>
        </w:trPr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G, Z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Pasy ruchu zasadnicze, dodatkowe, włączenia i wyłączenia, postojowe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12</w:t>
            </w:r>
          </w:p>
        </w:tc>
      </w:tr>
      <w:tr>
        <w:trPr/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Utwardzone pobocza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15</w:t>
            </w:r>
          </w:p>
        </w:tc>
      </w:tr>
      <w:tr>
        <w:trPr/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L, D, place, parkingi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Wszystkie pasy ruchu i powierzchnie przeznaczone do ruchu i postoju pojazdów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15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Pomiar równości podłużnej nawierzchni metodą łaty i klina</w:t>
      </w:r>
    </w:p>
    <w:p>
      <w:pPr>
        <w:pStyle w:val="Normal"/>
        <w:jc w:val="both"/>
        <w:rPr/>
      </w:pPr>
      <w:r>
        <w:rPr/>
        <w:t>Pomiar równości podłużnej warstw nawierzchni z użyciem łaty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9.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B. Pomiar równości poprzecznej warstwy podbudowy </w:t>
      </w:r>
    </w:p>
    <w:p>
      <w:pPr>
        <w:pStyle w:val="Normal"/>
        <w:jc w:val="both"/>
        <w:rPr/>
      </w:pPr>
      <w:r>
        <w:rPr/>
        <w:t>Do oceny równości poprzecznej warstw nawierzchni dróg wszystkich klas technicznych oraz placów i parkingów należy stosować metodę pomiaru profilometrycznego a w miejscach niedostępnych dla sprzętu pomiarowego z wykorzystaniem łaty i klina, umożliwiającą wyznaczenie odchylenia równości w przekroju poprzecznym pasa ruchu/elementu drogi. 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km/h,. W czasie pomiaru należy bezwzględnie unikać gwałtownych zmian prędkości.Dopuszczalne wartości odchyleń zostały podane w Tablicy 10.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Tablica 10. Dopuszczalne wartości odchyleń</w:t>
      </w:r>
    </w:p>
    <w:tbl>
      <w:tblPr>
        <w:tblStyle w:val="Tabela-Siatka"/>
        <w:tblW w:w="928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065"/>
        <w:gridCol w:w="3111"/>
        <w:gridCol w:w="3112"/>
      </w:tblGrid>
      <w:tr>
        <w:trPr/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Klasa drogi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Element nawierzchni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Dopuszczalne wartości odchyleń równości poprzecznej warstwy podbudowy [mm]</w:t>
            </w:r>
          </w:p>
        </w:tc>
      </w:tr>
      <w:tr>
        <w:trPr/>
        <w:tc>
          <w:tcPr>
            <w:tcW w:w="3065" w:type="dxa"/>
            <w:vMerge w:val="restart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A, S, GP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Pasy ruchu zasadnicze, awaryjne, dodatkowe, włączenia i wyłączenia, jezdnia łącznic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9</w:t>
            </w:r>
          </w:p>
        </w:tc>
      </w:tr>
      <w:tr>
        <w:trPr/>
        <w:tc>
          <w:tcPr>
            <w:tcW w:w="3065" w:type="dxa"/>
            <w:vMerge w:val="continue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Jezdnie MOP, utwardzone pobocza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12</w:t>
            </w:r>
          </w:p>
        </w:tc>
      </w:tr>
      <w:tr>
        <w:trPr/>
        <w:tc>
          <w:tcPr>
            <w:tcW w:w="3065" w:type="dxa"/>
            <w:vMerge w:val="restart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G, Z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Pasy ruchu zasadnicze, dodatkowe, włączenia i wyłączenia, postojowe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12</w:t>
            </w:r>
          </w:p>
        </w:tc>
      </w:tr>
      <w:tr>
        <w:trPr/>
        <w:tc>
          <w:tcPr>
            <w:tcW w:w="3065" w:type="dxa"/>
            <w:vMerge w:val="continue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Utwardzone pobocza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15</w:t>
            </w:r>
          </w:p>
        </w:tc>
      </w:tr>
      <w:tr>
        <w:trPr>
          <w:trHeight w:val="736" w:hRule="atLeast"/>
        </w:trPr>
        <w:tc>
          <w:tcPr>
            <w:tcW w:w="3065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L, D, place, parkingi</w:t>
            </w:r>
          </w:p>
        </w:tc>
        <w:tc>
          <w:tcPr>
            <w:tcW w:w="3111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Wszystkie pasy ruchu i powierzchnie przeznaczone do ruchu i postoju pojazdów</w:t>
            </w:r>
          </w:p>
        </w:tc>
        <w:tc>
          <w:tcPr>
            <w:tcW w:w="3112" w:type="dxa"/>
            <w:tcBorders/>
            <w:vAlign w:val="center"/>
          </w:tcPr>
          <w:p>
            <w:pPr>
              <w:pStyle w:val="Normal"/>
              <w:tabs>
                <w:tab w:val="clear" w:pos="708"/>
                <w:tab w:val="left" w:pos="397" w:leader="none"/>
                <w:tab w:val="left" w:pos="567" w:leader="none"/>
                <w:tab w:val="left" w:pos="737" w:leader="none"/>
              </w:tabs>
              <w:spacing w:before="120" w:after="0"/>
              <w:jc w:val="both"/>
              <w:rPr>
                <w:rFonts w:ascii="Times New Roman" w:hAnsi="Times New Roman"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Cs w:val="20"/>
                <w:lang w:eastAsia="pl-PL"/>
              </w:rPr>
              <w:t>15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Pomiar równości poprzecznej warstw nawierzchni z użyciem łaty i klina należy wykonywać jedynie w miejscach niedostępnych dla sprzętu pomiarowego takich jak: stanowiska postojowe, zatoki autobusowe itp. Pomiary równości poprzecznej z wykorzystaniem łaty i klina należy wykonywać z krokiem co 1m, oraz w miejscach dodatkowych budzących wątpliwości co do zachowania warunku równości poprzecznej. W czasie pomiaru łata powinna leżeć prostopadle do osi drogi i w płaszczyźnie prostopadłej do powierzchni badanej warstwy.</w:t>
      </w:r>
    </w:p>
    <w:p>
      <w:pPr>
        <w:pStyle w:val="Normal"/>
        <w:jc w:val="both"/>
        <w:rPr/>
      </w:pPr>
      <w:r>
        <w:rPr/>
        <w:t>Klin należy podkładać pod łatę w miejscu, w którym prześwit jest największy (największe odchylenie równości). Wielkość prześwitu jest równa najmniejszej liczbie widocznej na klinie podłożonym pod łatę. Zasady oceny wyników podano w Tablicy 10.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 xml:space="preserve"> </w:t>
      </w:r>
      <w:r>
        <w:rPr/>
        <w:t>Spadki poprzeczne</w:t>
      </w:r>
    </w:p>
    <w:p>
      <w:pPr>
        <w:pStyle w:val="Normal"/>
        <w:jc w:val="both"/>
        <w:rPr/>
      </w:pPr>
      <w:r>
        <w:rPr/>
        <w:t>Sprawdzenie polega na przyłożeniu łaty i pomiar prześwitu klinem lub pomiar profilografem laserowym. Spadki poprzeczne warstwy ścieralnej na odcinkach prostych i na łukach powinny być zgodne z spadkami poprzecznymi z tolerancją ± 0,5%. Wymaga się, aby co najmniej 95% wykonanych pomiarów nie przekraczało przedziału dopuszczalnych odchyleń.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 xml:space="preserve"> </w:t>
      </w:r>
      <w:r>
        <w:rPr/>
        <w:t>Ukształtowanie osi w planie</w:t>
      </w:r>
    </w:p>
    <w:p>
      <w:pPr>
        <w:pStyle w:val="Normal"/>
        <w:jc w:val="both"/>
        <w:rPr/>
      </w:pPr>
      <w:r>
        <w:rPr/>
        <w:t xml:space="preserve">Oś warstwy w planie powinna być usytuowana zgodnie z osią projektowaną z tolerancją </w:t>
      </w:r>
      <w:bookmarkStart w:id="12" w:name="_Hlk516050067"/>
      <w:r>
        <w:rPr/>
        <w:t>±</w:t>
      </w:r>
      <w:bookmarkEnd w:id="12"/>
      <w:r>
        <w:rPr/>
        <w:t xml:space="preserve"> 5 cm. Wymaga się, aby co najmniej 95% wykonanych pomiarów nie przekraczało przedziału dopuszczalnych odchyleń.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Rzędne wysokościowe nawierzchni</w:t>
      </w:r>
    </w:p>
    <w:p>
      <w:pPr>
        <w:pStyle w:val="Normal"/>
        <w:jc w:val="both"/>
        <w:rPr/>
      </w:pPr>
      <w:r>
        <w:rPr/>
        <w:t>Rzędne wysokościowe warstwy podbudowy zasadniczej powinny być mierzone w przekrojach co 20m w osi i na krawędziach jezdni. Różnice pomiędzy rzędnymi wysokościowymi warstwy a rzędnymi projektowanymi nie powinny przekraczać  ± 1 cm. Wymaga się, aby co najmniej 95% wykonanych pomiarów nie przekraczało przedziału dopuszczalnych odchyleń.</w:t>
      </w:r>
    </w:p>
    <w:p>
      <w:pPr>
        <w:pStyle w:val="PKT3"/>
        <w:numPr>
          <w:ilvl w:val="2"/>
          <w:numId w:val="1"/>
        </w:numPr>
        <w:ind w:left="1134" w:hanging="774"/>
        <w:rPr/>
      </w:pPr>
      <w:r>
        <w:rPr/>
        <w:t>Złącza podłużne i poprzeczne</w:t>
      </w:r>
    </w:p>
    <w:p>
      <w:pPr>
        <w:pStyle w:val="Normal"/>
        <w:jc w:val="both"/>
        <w:rPr/>
      </w:pPr>
      <w:r>
        <w:rPr/>
        <w:t xml:space="preserve">Złącza w nawierzchni powinny być wykonane w linii prostej, prostopadle do osi drogi. </w:t>
        <w:br/>
        <w:t>Złącza w konstrukcji wielowarstwowej powinny być przesunięte względem siebie co najmniej o 1 m. Złącza powinny być całkowicie związane, a przylegające warstwy powinny być w jednym poziomie.</w:t>
      </w:r>
    </w:p>
    <w:p>
      <w:pPr>
        <w:pStyle w:val="Normal"/>
        <w:spacing w:before="240" w:after="0"/>
        <w:jc w:val="both"/>
        <w:rPr>
          <w:b/>
          <w:b/>
        </w:rPr>
      </w:pPr>
      <w:r>
        <w:rPr>
          <w:b/>
        </w:rPr>
        <w:t xml:space="preserve">       </w:t>
      </w:r>
      <w:r>
        <w:rPr>
          <w:b/>
        </w:rPr>
        <w:t>6.2.8.         Wygląd warstwy</w:t>
      </w:r>
    </w:p>
    <w:p>
      <w:pPr>
        <w:pStyle w:val="Normal"/>
        <w:jc w:val="both"/>
        <w:rPr/>
      </w:pPr>
      <w:r>
        <w:rPr/>
        <w:t xml:space="preserve">Wygląd warstwy z MMA powinien być jednorodny, bez miejsc „przeasfaltowanych”, porowatych, łuszczących się i spękanych. </w:t>
      </w:r>
    </w:p>
    <w:p>
      <w:pPr>
        <w:pStyle w:val="Normal"/>
        <w:jc w:val="both"/>
        <w:rPr/>
      </w:pPr>
      <w:r>
        <w:rPr/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>OBMIAR ROBÓT</w:t>
      </w:r>
    </w:p>
    <w:p>
      <w:pPr>
        <w:pStyle w:val="Normal"/>
        <w:jc w:val="both"/>
        <w:rPr/>
      </w:pPr>
      <w:r>
        <w:rPr/>
        <w:t>Kontrakt ryczałtowy. Obmiar robót będzie wykonywany wyłącznie do celów oszacowania na koniec każdego okresu rozliczeniowego wartości i zaawansowania Robót Stałych i nie będzie miał wpływu na Cenę Kontraktową należną na mocy Kontraktu.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Na potrzeby obmiaru robót ujętych w niniejszej Specyfikacji należy stosować następujące jednostki obmiarowe:</w:t>
      </w:r>
    </w:p>
    <w:p>
      <w:pPr>
        <w:pStyle w:val="Normal"/>
        <w:jc w:val="both"/>
        <w:rPr>
          <w:vertAlign w:val="superscript"/>
        </w:rPr>
      </w:pPr>
      <w:r>
        <w:rPr/>
        <w:t xml:space="preserve">- podbudowa zasadnicza z AC 22 P gr. 10 cm KR4 </w:t>
        <w:tab/>
        <w:tab/>
        <w:tab/>
        <w:tab/>
        <w:t>– m</w:t>
      </w:r>
      <w:r>
        <w:rPr>
          <w:vertAlign w:val="superscript"/>
        </w:rPr>
        <w:t xml:space="preserve">2 </w:t>
      </w:r>
      <w:r>
        <w:rPr/>
        <w:t>(metr kwadrat)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Zastrzegamy możliwość aktualizacji jednostki na kolejnych etapach realizacji Kontraktu.</w:t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ab/>
        <w:t>ODBIÓR ROBÓT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Ogólne zasady odbioru robót</w:t>
      </w:r>
    </w:p>
    <w:p>
      <w:pPr>
        <w:pStyle w:val="Normal"/>
        <w:jc w:val="both"/>
        <w:rPr/>
      </w:pPr>
      <w:r>
        <w:rPr/>
        <w:t>Ogólne zasady odbioru robót podano w STWiORB D-M.00.00.00. "Wymagania ogólne" pkt. 8.</w:t>
      </w:r>
    </w:p>
    <w:p>
      <w:pPr>
        <w:pStyle w:val="PKT2"/>
        <w:numPr>
          <w:ilvl w:val="1"/>
          <w:numId w:val="1"/>
        </w:numPr>
        <w:ind w:left="709" w:hanging="709"/>
        <w:rPr/>
      </w:pPr>
      <w:r>
        <w:rPr/>
        <w:t>Szczegółowe zasady odbioru robót</w:t>
      </w:r>
    </w:p>
    <w:p>
      <w:pPr>
        <w:pStyle w:val="Normal"/>
        <w:jc w:val="both"/>
        <w:rPr/>
      </w:pPr>
      <w:r>
        <w:rPr/>
        <w:t xml:space="preserve">Odbioru robót związanych z warstwą nawierzchni lub podbudowy z betonu asfaltowego dokonuje Inżynier, po zgłoszeniu robót do odbioru przez Wykonawcę. Odbiór powinien być przeprowadzony </w:t>
        <w:br/>
        <w:t>w czasie umożliwiającym wykonanie ewentualnych poprawek bez hamowania postępu robót.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 xml:space="preserve"> </w:t>
      </w:r>
      <w:r>
        <w:rPr/>
        <w:t>PODSTAWA PŁATNOŚCI</w:t>
      </w:r>
    </w:p>
    <w:p>
      <w:pPr>
        <w:pStyle w:val="Normal"/>
        <w:rPr/>
      </w:pPr>
      <w:r>
        <w:rPr/>
        <w:t xml:space="preserve">Wynagrodzenie ryczałtowe. </w:t>
        <w:br/>
        <w:t xml:space="preserve">Zasady płatności podano w umowie pomiędzy Zamawiającym a Wykonawcą. </w:t>
      </w:r>
    </w:p>
    <w:p>
      <w:pPr>
        <w:pStyle w:val="Normal"/>
        <w:jc w:val="both"/>
        <w:rPr/>
      </w:pPr>
      <w:r>
        <w:rPr/>
        <w:t>W ramach prac wykonane będą następujące czynności: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prace przygotowawcze,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zapewnienie niezbędnych czynników produkcji,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 xml:space="preserve">zastosowanie materiałów pomocniczych koniecznych do prawidłowego wykonania robót </w:t>
        <w:br/>
        <w:t>lub wynikających z przyjętej technologii robót,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 xml:space="preserve">wykonanie wszystkich czynności określonych w niniejszej STWIORB oraz wynikających </w:t>
        <w:br/>
        <w:t>z opracowań wykonanych przez Wykonawcę,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wykonanie wszystkich niezbędnych pomiarów, prób i sprawdzeń,</w:t>
      </w:r>
    </w:p>
    <w:p>
      <w:pPr>
        <w:pStyle w:val="Wypunktowanie"/>
        <w:numPr>
          <w:ilvl w:val="0"/>
          <w:numId w:val="2"/>
        </w:numPr>
        <w:ind w:left="453" w:hanging="340"/>
        <w:rPr/>
      </w:pPr>
      <w:r>
        <w:rPr/>
        <w:t>prace porządkowe</w:t>
      </w:r>
    </w:p>
    <w:p>
      <w:pPr>
        <w:pStyle w:val="Normal"/>
        <w:widowControl/>
        <w:spacing w:lineRule="auto" w:line="259" w:before="0" w:after="160"/>
        <w:rPr>
          <w:rFonts w:eastAsia="Batang" w:cs="Times New Roman"/>
        </w:rPr>
      </w:pPr>
      <w:r>
        <w:rPr>
          <w:rFonts w:eastAsia="Batang" w:cs="Times New Roman"/>
        </w:rPr>
      </w:r>
      <w:r>
        <w:br w:type="page"/>
      </w:r>
    </w:p>
    <w:p>
      <w:pPr>
        <w:pStyle w:val="PKT1"/>
        <w:numPr>
          <w:ilvl w:val="0"/>
          <w:numId w:val="1"/>
        </w:numPr>
        <w:ind w:left="567" w:hanging="567"/>
        <w:jc w:val="both"/>
        <w:rPr/>
      </w:pPr>
      <w:r>
        <w:rPr/>
        <w:t xml:space="preserve"> </w:t>
      </w:r>
      <w:r>
        <w:rPr/>
        <w:t>PRZEPISY ZWIĄZANE</w:t>
      </w:r>
    </w:p>
    <w:p>
      <w:pPr>
        <w:pStyle w:val="Normal"/>
        <w:jc w:val="both"/>
        <w:rPr/>
      </w:pPr>
      <w:r>
        <w:rPr/>
        <w:t>Rozporządzenie Ministra Infrastruktury z dnia 16 stycznia 2002r. w sprawie przepisów techniczno-budowlanych dotyczących autostrad płatnych (wraz z późniejszymi zmianami).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WT-1 Kruszywa 2010, Kruszywa do mieszanek mineralno-asfaltowych i powierzchniowych utrwaleń na drogach publicznych.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WT-2 2014 – cześć I, Nawierzchnie asfaltowe na drogach krajowych.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 xml:space="preserve">WT-1 2010 Kruszywa do nawierzchni drogowych i powierzchniowych utrwaleń na drogach krajowych 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WT-2 2016 – część II, Nawierzchnie asfaltowe na drogach krajowych.</w:t>
      </w:r>
    </w:p>
    <w:p>
      <w:pPr>
        <w:pStyle w:val="ListParagraph"/>
        <w:numPr>
          <w:ilvl w:val="0"/>
          <w:numId w:val="3"/>
        </w:numPr>
        <w:jc w:val="both"/>
        <w:rPr/>
      </w:pPr>
      <w:bookmarkStart w:id="13" w:name="_GoBack"/>
      <w:bookmarkEnd w:id="13"/>
      <w:r>
        <w:rPr/>
        <w:t>PN-EN 932-3 Badania podstawowych właściwości kruszyw – Procedura i terminologia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uproszczonego opisu petrograficznego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932-5 Badania podstawowych właściwości kruszyw – Część 5: Wyposażenie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podstawowe i wzorcowanie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933-1 Badania geometrycznych właściwości kruszyw – Oznaczanie składu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ziarnowego. Metoda przesiewania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933-3 Badania geometrycznych właściwości kruszyw – Oznaczanie kształtu ziaren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za pomocą wskaźnika płaskości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933-4 Badania geometrycznych właściwości kruszyw – Część 4: Oznaczanie kształtu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ziaren – Wskaźnik kształtu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933-5 Badania geometrycznych właściwości kruszyw – Oznaczanie procentowej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zawartości ziaren o powierzchniach powstałych w wyniku przekruszenia lub łamania kruszyw grubych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933-6 Badania geometrycznych właściwości kruszyw – Część 6: Ocena właściwości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powierzchni – Wskaźnik przepływu kruszywa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933-9 Badania geometrycznych właściwości kruszyw – Ocena zawartości drobnych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cząstek – Badania błękitem metylenowym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933-10 Badania geometrycznych właściwości kruszyw – Część 10: Ocena zawartości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drobnych cząstek – Uziarnienie wypełniaczy (przesiewanie w strumieniu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powietrza)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1097-2 Badania mechanicznych i fizycznych właściwości kruszyw – Metody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oznaczania odporności na rozdrabianie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1097-3 Badania mechanicznych i fizycznych właściwości kruszyw – Oznaczanie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gęstości nasypowej i jamistości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1097-4 Badania mechanicznych i fizycznych właściwości kruszyw – Część 4: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Oznaczanie pustych przestrzeni suchego, zagęszczonego wypełniacza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1097-5 Badania mechanicznych i fizycznych właściwości kruszyw – Część 5: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Oznaczanie zawartości wody przez suszenie w suszarce z wentylacją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PN-EN 1097-6 Badania mechanicznych i fizycznych właściwości kruszyw – Część 6:</w:t>
      </w:r>
    </w:p>
    <w:p>
      <w:pPr>
        <w:pStyle w:val="ListParagraph"/>
        <w:numPr>
          <w:ilvl w:val="0"/>
          <w:numId w:val="3"/>
        </w:numPr>
        <w:jc w:val="both"/>
        <w:rPr/>
      </w:pPr>
      <w:r>
        <w:rPr/>
        <w:t>Oznaczanie gęstości ziaren i nasiąkliwości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417" w:right="1417" w:header="709" w:top="1417" w:footer="709" w:bottom="1417" w:gutter="0"/>
      <w:pgNumType w:start="129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Calibri Light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Times New Roman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TimesE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50200431"/>
    </w:sdtPr>
    <w:sdtContent>
      <w:p>
        <w:pPr>
          <w:pStyle w:val="Stopka"/>
          <w:pBdr>
            <w:top w:val="single" w:sz="4" w:space="1" w:color="000000"/>
          </w:pBdr>
          <w:jc w:val="center"/>
          <w:rPr>
            <w:sz w:val="18"/>
            <w:szCs w:val="18"/>
          </w:rPr>
        </w:pPr>
        <w:r>
          <w:rPr/>
        </w:r>
      </w:p>
    </w:sdtContent>
  </w:sdt>
  <w:p>
    <w:pPr>
      <w:pStyle w:val="Tabela"/>
      <w:tabs>
        <w:tab w:val="clear" w:pos="708"/>
        <w:tab w:val="left" w:pos="5924" w:leader="none"/>
      </w:tabs>
      <w:jc w:val="left"/>
      <w:rPr>
        <w:sz w:val="2"/>
        <w:szCs w:val="2"/>
      </w:rPr>
    </w:pPr>
    <w:r>
      <w:rPr>
        <w:sz w:val="2"/>
        <w:szCs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>
        <w:color w:val="A6A6A6" w:themeColor="background1" w:themeShade="a6"/>
        <w:sz w:val="16"/>
        <w:szCs w:val="16"/>
      </w:rPr>
    </w:pPr>
    <w:bookmarkStart w:id="14" w:name="_Hlk486589505"/>
    <w:bookmarkStart w:id="15" w:name="_Hlk486589504"/>
    <w:bookmarkStart w:id="16" w:name="_Hlk486589503"/>
    <w:r>
      <w:rPr>
        <w:color w:val="A6A6A6" w:themeColor="background1" w:themeShade="a6"/>
        <w:sz w:val="16"/>
        <w:szCs w:val="16"/>
      </w:rPr>
      <w:t>D.04.07.01. NAWIERZCHNIA Z BETONU ASFALTOWEGO WARSTWA PODBUDOWY</w:t>
    </w:r>
    <w:bookmarkEnd w:id="14"/>
    <w:bookmarkEnd w:id="15"/>
    <w:bookmarkEnd w:id="16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800" w:hanging="1440"/>
      </w:pPr>
    </w:lvl>
    <w:lvl w:ilvl="2">
      <w:start w:val="1"/>
      <w:numFmt w:val="decimal"/>
      <w:lvlText w:val="%1.%2.%3."/>
      <w:lvlJc w:val="left"/>
      <w:pPr>
        <w:ind w:left="1800" w:hanging="1440"/>
      </w:pPr>
    </w:lvl>
    <w:lvl w:ilvl="3">
      <w:start w:val="1"/>
      <w:numFmt w:val="decimal"/>
      <w:lvlText w:val="%1.%2.%3.%4."/>
      <w:lvlJc w:val="left"/>
      <w:pPr>
        <w:ind w:left="1800" w:hanging="144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bullet"/>
      <w:lvlText w:val=""/>
      <w:lvlJc w:val="right"/>
      <w:pPr>
        <w:tabs>
          <w:tab w:val="num" w:pos="454"/>
        </w:tabs>
        <w:ind w:left="454" w:hanging="341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Title" w:semiHidden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uiPriority="11" w:semiHidden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Normal (Web)" w:uiPriority="0"/>
    <w:lsdException w:name="annotation subject" w:uiPriority="0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0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qFormat="1"/>
  </w:latentStyles>
  <w:style w:type="paragraph" w:styleId="Normal" w:default="1">
    <w:name w:val="Normal"/>
    <w:qFormat/>
    <w:rsid w:val="001871cf"/>
    <w:pPr>
      <w:widowControl w:val="fals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eastAsia="pl-PL" w:val="pl-PL" w:bidi="ar-SA"/>
    </w:rPr>
  </w:style>
  <w:style w:type="paragraph" w:styleId="Nagwek1">
    <w:name w:val="Heading 1"/>
    <w:basedOn w:val="Normal"/>
    <w:next w:val="Normal"/>
    <w:link w:val="Nagwek1Znak"/>
    <w:uiPriority w:val="99"/>
    <w:qFormat/>
    <w:rsid w:val="001871cf"/>
    <w:pPr>
      <w:keepNext w:val="true"/>
      <w:spacing w:before="240" w:after="60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paragraph" w:styleId="Nagwek2">
    <w:name w:val="Heading 2"/>
    <w:basedOn w:val="Normal"/>
    <w:next w:val="Normal"/>
    <w:link w:val="Nagwek2Znak"/>
    <w:uiPriority w:val="99"/>
    <w:qFormat/>
    <w:rsid w:val="001871cf"/>
    <w:pPr>
      <w:keepNext w:val="true"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link w:val="Nagwek3Znak"/>
    <w:uiPriority w:val="99"/>
    <w:qFormat/>
    <w:rsid w:val="001871cf"/>
    <w:pPr>
      <w:keepNext w:val="true"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Nagwek4">
    <w:name w:val="Heading 4"/>
    <w:basedOn w:val="Normal"/>
    <w:next w:val="Normal"/>
    <w:link w:val="Nagwek4Znak"/>
    <w:uiPriority w:val="99"/>
    <w:qFormat/>
    <w:rsid w:val="001871cf"/>
    <w:pPr>
      <w:keepNext w:val="true"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"/>
    <w:next w:val="Normal"/>
    <w:link w:val="Nagwek5Znak"/>
    <w:uiPriority w:val="99"/>
    <w:qFormat/>
    <w:rsid w:val="001871c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link w:val="Nagwek6Znak"/>
    <w:uiPriority w:val="99"/>
    <w:qFormat/>
    <w:rsid w:val="001871cf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gwek7">
    <w:name w:val="Heading 7"/>
    <w:basedOn w:val="Normal"/>
    <w:next w:val="Normal"/>
    <w:link w:val="Nagwek7Znak"/>
    <w:uiPriority w:val="99"/>
    <w:qFormat/>
    <w:rsid w:val="001871cf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Nagwek8">
    <w:name w:val="Heading 8"/>
    <w:basedOn w:val="Normal"/>
    <w:next w:val="Normal"/>
    <w:link w:val="Nagwek8Znak"/>
    <w:uiPriority w:val="99"/>
    <w:qFormat/>
    <w:rsid w:val="001871cf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Nagwek9">
    <w:name w:val="Heading 9"/>
    <w:basedOn w:val="Normal"/>
    <w:next w:val="Normal"/>
    <w:link w:val="Nagwek9Znak"/>
    <w:uiPriority w:val="99"/>
    <w:qFormat/>
    <w:rsid w:val="001871cf"/>
    <w:p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9"/>
    <w:qFormat/>
    <w:rsid w:val="001871cf"/>
    <w:rPr>
      <w:rFonts w:ascii="Calibri Light" w:hAnsi="Calibri Light" w:eastAsia="" w:cs="Times New Roman" w:eastAsiaTheme="minorEastAsia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9"/>
    <w:qFormat/>
    <w:rsid w:val="001871cf"/>
    <w:rPr>
      <w:rFonts w:ascii="Calibri Light" w:hAnsi="Calibri Light" w:eastAsia="" w:cs="Times New Roman" w:eastAsiaTheme="minorEastAsia"/>
      <w:b/>
      <w:bCs/>
      <w:i/>
      <w:iCs/>
      <w:sz w:val="28"/>
      <w:szCs w:val="28"/>
      <w:lang w:eastAsia="pl-PL"/>
    </w:rPr>
  </w:style>
  <w:style w:type="character" w:styleId="Nagwek3Znak" w:customStyle="1">
    <w:name w:val="Nagłówek 3 Znak"/>
    <w:basedOn w:val="DefaultParagraphFont"/>
    <w:link w:val="Nagwek3"/>
    <w:uiPriority w:val="99"/>
    <w:qFormat/>
    <w:rsid w:val="001871cf"/>
    <w:rPr>
      <w:rFonts w:ascii="Calibri Light" w:hAnsi="Calibri Light" w:eastAsia="" w:cs="Times New Roman" w:eastAsiaTheme="minorEastAsia"/>
      <w:b/>
      <w:bCs/>
      <w:sz w:val="26"/>
      <w:szCs w:val="26"/>
      <w:lang w:eastAsia="pl-PL"/>
    </w:rPr>
  </w:style>
  <w:style w:type="character" w:styleId="Nagwek4Znak" w:customStyle="1">
    <w:name w:val="Nagłówek 4 Znak"/>
    <w:basedOn w:val="DefaultParagraphFont"/>
    <w:link w:val="Nagwek4"/>
    <w:uiPriority w:val="99"/>
    <w:qFormat/>
    <w:rsid w:val="001871cf"/>
    <w:rPr>
      <w:rFonts w:ascii="Calibri" w:hAnsi="Calibri" w:eastAsia="" w:cs="Times New Roman" w:eastAsiaTheme="minorEastAsia"/>
      <w:b/>
      <w:bCs/>
      <w:sz w:val="28"/>
      <w:szCs w:val="28"/>
      <w:lang w:eastAsia="pl-PL"/>
    </w:rPr>
  </w:style>
  <w:style w:type="character" w:styleId="Nagwek5Znak" w:customStyle="1">
    <w:name w:val="Nagłówek 5 Znak"/>
    <w:basedOn w:val="DefaultParagraphFont"/>
    <w:link w:val="Nagwek5"/>
    <w:uiPriority w:val="99"/>
    <w:qFormat/>
    <w:rsid w:val="001871cf"/>
    <w:rPr>
      <w:rFonts w:ascii="Calibri" w:hAnsi="Calibri" w:eastAsia="" w:cs="Times New Roman" w:eastAsiaTheme="minorEastAsia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basedOn w:val="DefaultParagraphFont"/>
    <w:link w:val="Nagwek6"/>
    <w:uiPriority w:val="99"/>
    <w:qFormat/>
    <w:rsid w:val="001871cf"/>
    <w:rPr>
      <w:rFonts w:ascii="Calibri" w:hAnsi="Calibri" w:eastAsia="" w:cs="Times New Roman" w:eastAsiaTheme="minorEastAsia"/>
      <w:b/>
      <w:bCs/>
      <w:lang w:eastAsia="pl-PL"/>
    </w:rPr>
  </w:style>
  <w:style w:type="character" w:styleId="Nagwek7Znak" w:customStyle="1">
    <w:name w:val="Nagłówek 7 Znak"/>
    <w:basedOn w:val="DefaultParagraphFont"/>
    <w:link w:val="Nagwek7"/>
    <w:uiPriority w:val="99"/>
    <w:qFormat/>
    <w:rsid w:val="001871cf"/>
    <w:rPr>
      <w:rFonts w:ascii="Calibri" w:hAnsi="Calibri" w:eastAsia="" w:cs="Times New Roman" w:eastAsiaTheme="minorEastAsia"/>
      <w:sz w:val="24"/>
      <w:szCs w:val="24"/>
      <w:lang w:eastAsia="pl-PL"/>
    </w:rPr>
  </w:style>
  <w:style w:type="character" w:styleId="Nagwek8Znak" w:customStyle="1">
    <w:name w:val="Nagłówek 8 Znak"/>
    <w:basedOn w:val="DefaultParagraphFont"/>
    <w:link w:val="Nagwek8"/>
    <w:uiPriority w:val="99"/>
    <w:qFormat/>
    <w:rsid w:val="001871cf"/>
    <w:rPr>
      <w:rFonts w:ascii="Calibri" w:hAnsi="Calibri" w:eastAsia="" w:cs="Times New Roman" w:eastAsiaTheme="minorEastAsia"/>
      <w:i/>
      <w:iCs/>
      <w:sz w:val="24"/>
      <w:szCs w:val="24"/>
      <w:lang w:eastAsia="pl-PL"/>
    </w:rPr>
  </w:style>
  <w:style w:type="character" w:styleId="Nagwek9Znak" w:customStyle="1">
    <w:name w:val="Nagłówek 9 Znak"/>
    <w:basedOn w:val="DefaultParagraphFont"/>
    <w:link w:val="Nagwek9"/>
    <w:uiPriority w:val="99"/>
    <w:qFormat/>
    <w:rsid w:val="001871cf"/>
    <w:rPr>
      <w:rFonts w:ascii="Calibri Light" w:hAnsi="Calibri Light" w:eastAsia="" w:cs="Times New Roman" w:eastAsiaTheme="minorEastAsia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Pagenumber">
    <w:name w:val="page number"/>
    <w:basedOn w:val="DefaultParagraphFont"/>
    <w:qFormat/>
    <w:rsid w:val="001871cf"/>
    <w:rPr>
      <w:rFonts w:ascii="Arial" w:hAnsi="Arial"/>
      <w:i/>
      <w:sz w:val="20"/>
    </w:rPr>
  </w:style>
  <w:style w:type="character" w:styleId="11PogrubienieZnakZnak" w:customStyle="1">
    <w:name w:val="1.1. Pogrubienie Znak Znak"/>
    <w:basedOn w:val="DefaultParagraphFont"/>
    <w:link w:val="11Pogrubienie"/>
    <w:qFormat/>
    <w:rsid w:val="001871cf"/>
    <w:rPr>
      <w:rFonts w:ascii="Arial" w:hAnsi="Arial" w:eastAsia="" w:cs="Arial" w:eastAsiaTheme="minorEastAsia"/>
      <w:b/>
      <w:sz w:val="24"/>
      <w:szCs w:val="20"/>
      <w:lang w:eastAsia="pl-PL"/>
    </w:rPr>
  </w:style>
  <w:style w:type="character" w:styleId="Normalny3Znak" w:customStyle="1">
    <w:name w:val="normalny 3 Znak"/>
    <w:basedOn w:val="DefaultParagraphFont"/>
    <w:link w:val="normalny3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ormal12Znak" w:customStyle="1">
    <w:name w:val="Normal 12 Znak"/>
    <w:basedOn w:val="DefaultParagraphFont"/>
    <w:link w:val="Normal12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ormal1Znak" w:customStyle="1">
    <w:name w:val="Normal 1 Znak"/>
    <w:basedOn w:val="DefaultParagraphFont"/>
    <w:link w:val="Normal1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agwek2Znak1" w:customStyle="1">
    <w:name w:val="Nagłówek 2 Znak1"/>
    <w:basedOn w:val="DefaultParagraphFont"/>
    <w:qFormat/>
    <w:rsid w:val="001871cf"/>
    <w:rPr>
      <w:rFonts w:cs="Arial"/>
      <w:b/>
      <w:kern w:val="2"/>
      <w:sz w:val="22"/>
      <w:szCs w:val="24"/>
    </w:rPr>
  </w:style>
  <w:style w:type="character" w:styleId="Nagwek3Znak1" w:customStyle="1">
    <w:name w:val="Nagłówek 3 Znak1"/>
    <w:basedOn w:val="DefaultParagraphFont"/>
    <w:qFormat/>
    <w:rsid w:val="001871cf"/>
    <w:rPr>
      <w:rFonts w:cs="Arial"/>
      <w:b/>
      <w:iCs/>
      <w:szCs w:val="26"/>
    </w:rPr>
  </w:style>
  <w:style w:type="character" w:styleId="Normalny3ZnakZnak1" w:customStyle="1">
    <w:name w:val="normalny 3 Znak Znak1"/>
    <w:basedOn w:val="DefaultParagraphFont"/>
    <w:qFormat/>
    <w:rsid w:val="001871cf"/>
    <w:rPr>
      <w:rFonts w:cs="Arial"/>
      <w:bCs/>
      <w:iCs/>
      <w:szCs w:val="24"/>
      <w:lang w:val="pl-PL" w:eastAsia="pl-PL" w:bidi="ar-SA"/>
    </w:rPr>
  </w:style>
  <w:style w:type="character" w:styleId="TekstpodstawowyZnak" w:customStyle="1">
    <w:name w:val="Tekst podstawowy Znak"/>
    <w:basedOn w:val="DefaultParagraphFont"/>
    <w:link w:val="Tekstpodstawowy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Czeinternetowe">
    <w:name w:val="Łącze internetowe"/>
    <w:uiPriority w:val="99"/>
    <w:rsid w:val="001871cf"/>
    <w:rPr>
      <w:rFonts w:cs="Times New Roman"/>
      <w:color w:val="0563C1"/>
      <w:u w:val="single"/>
    </w:rPr>
  </w:style>
  <w:style w:type="character" w:styleId="Nagwek1Title1ZnakZnak" w:customStyle="1">
    <w:name w:val="Nagłówek 1;Title 1 Znak Znak"/>
    <w:basedOn w:val="DefaultParagraphFont"/>
    <w:qFormat/>
    <w:rsid w:val="001871cf"/>
    <w:rPr>
      <w:rFonts w:cs="Arial"/>
      <w:b/>
      <w:iCs/>
      <w:caps/>
      <w:kern w:val="2"/>
      <w:sz w:val="22"/>
      <w:szCs w:val="24"/>
      <w:lang w:val="pl-PL" w:eastAsia="pl-PL" w:bidi="ar-SA"/>
    </w:rPr>
  </w:style>
  <w:style w:type="character" w:styleId="TabelaZnak" w:customStyle="1">
    <w:name w:val="Tabela Znak"/>
    <w:basedOn w:val="DefaultParagraphFont"/>
    <w:link w:val="Tabela"/>
    <w:qFormat/>
    <w:rsid w:val="001871cf"/>
    <w:rPr>
      <w:rFonts w:ascii="Arial" w:hAnsi="Arial" w:eastAsia="" w:cs="Arial" w:eastAsiaTheme="minorEastAsia"/>
      <w:sz w:val="18"/>
      <w:szCs w:val="20"/>
      <w:lang w:eastAsia="pl-PL"/>
    </w:rPr>
  </w:style>
  <w:style w:type="character" w:styleId="Styl1Znak" w:customStyle="1">
    <w:name w:val="Styl1 Znak"/>
    <w:basedOn w:val="DefaultParagraphFont"/>
    <w:link w:val="Styl1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pelle" w:customStyle="1">
    <w:name w:val="spelle"/>
    <w:basedOn w:val="DefaultParagraphFont"/>
    <w:qFormat/>
    <w:rsid w:val="001871cf"/>
    <w:rPr/>
  </w:style>
  <w:style w:type="character" w:styleId="Normalny0Znak" w:customStyle="1">
    <w:name w:val="normalny 0 Znak"/>
    <w:basedOn w:val="DefaultParagraphFont"/>
    <w:link w:val="normalny0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ylPierwszywiersz05cmZnak" w:customStyle="1">
    <w:name w:val="Styl Pierwszy wiersz:  05 cm Znak"/>
    <w:basedOn w:val="DefaultParagraphFont"/>
    <w:link w:val="StylPierwszywiersz05cm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ylPierwszywiersz1cmZnak" w:customStyle="1">
    <w:name w:val="Styl Pierwszy wiersz:  1 cm Znak"/>
    <w:basedOn w:val="DefaultParagraphFont"/>
    <w:link w:val="StylPierwszywiersz1cm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11Normal1Znak" w:customStyle="1">
    <w:name w:val="1.1. Normal 1 Znak"/>
    <w:basedOn w:val="DefaultParagraphFont"/>
    <w:link w:val="11Normal1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yl11Normal1PogrubienieZnak" w:customStyle="1">
    <w:name w:val="Styl 1.1. Normal 1 + Pogrubienie Znak"/>
    <w:basedOn w:val="11Normal1Znak"/>
    <w:link w:val="Styl11Normal1Pogrubienie"/>
    <w:qFormat/>
    <w:rsid w:val="001871cf"/>
    <w:rPr>
      <w:rFonts w:ascii="Arial" w:hAnsi="Arial" w:eastAsia="" w:cs="Arial" w:eastAsiaTheme="minorEastAsia"/>
      <w:b/>
      <w:bCs/>
      <w:sz w:val="20"/>
      <w:szCs w:val="20"/>
      <w:lang w:eastAsia="pl-PL"/>
    </w:rPr>
  </w:style>
  <w:style w:type="character" w:styleId="StylWyjustowanyZnak" w:customStyle="1">
    <w:name w:val="Styl Wyjustowany Znak"/>
    <w:basedOn w:val="DefaultParagraphFont"/>
    <w:link w:val="StylWyjustowany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TekstZnak" w:customStyle="1">
    <w:name w:val="Tekst Znak"/>
    <w:basedOn w:val="DefaultParagraphFont"/>
    <w:link w:val="Tekst"/>
    <w:qFormat/>
    <w:rsid w:val="001871cf"/>
    <w:rPr>
      <w:rFonts w:ascii="Arial" w:hAnsi="Arial" w:eastAsia="" w:cs="Arial" w:eastAsiaTheme="minorEastAsia"/>
      <w:kern w:val="2"/>
      <w:sz w:val="20"/>
      <w:szCs w:val="20"/>
      <w:lang w:eastAsia="pl-PL"/>
    </w:rPr>
  </w:style>
  <w:style w:type="character" w:styleId="ZwrotpoegnalnyZnak" w:customStyle="1">
    <w:name w:val="Zwrot pożegnalny Znak"/>
    <w:basedOn w:val="DefaultParagraphFont"/>
    <w:link w:val="Zwrotpoegnalny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qFormat/>
    <w:rsid w:val="001871cf"/>
    <w:rPr>
      <w:rFonts w:ascii="Arial" w:hAnsi="Arial" w:eastAsia="" w:cs="Arial" w:eastAsiaTheme="minorEastAsia"/>
      <w:b/>
      <w:sz w:val="20"/>
      <w:szCs w:val="20"/>
      <w:lang w:eastAsia="pl-PL"/>
    </w:rPr>
  </w:style>
  <w:style w:type="character" w:styleId="ZwykytekstZnak" w:customStyle="1">
    <w:name w:val="Zwykły tekst Znak"/>
    <w:basedOn w:val="DefaultParagraphFont"/>
    <w:link w:val="Zwykytekst"/>
    <w:qFormat/>
    <w:rsid w:val="001871cf"/>
    <w:rPr>
      <w:rFonts w:ascii="Courier New" w:hAnsi="Courier New" w:eastAsia="" w:cs="Courier New" w:eastAsiaTheme="minorEastAsia"/>
      <w:sz w:val="20"/>
      <w:szCs w:val="20"/>
      <w:lang w:eastAsia="pl-PL"/>
    </w:rPr>
  </w:style>
  <w:style w:type="character" w:styleId="Norm12Znak" w:customStyle="1">
    <w:name w:val="norm 12 Znak"/>
    <w:basedOn w:val="StylWyjustowanyZnak"/>
    <w:link w:val="norm120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ORM0Znak" w:customStyle="1">
    <w:name w:val="NORM 0 Znak"/>
    <w:basedOn w:val="DefaultParagraphFont"/>
    <w:link w:val="NORM0"/>
    <w:qFormat/>
    <w:rsid w:val="001871cf"/>
    <w:rPr>
      <w:rFonts w:ascii="Arial" w:hAnsi="Arial" w:eastAsia="" w:cs="Times New Roman" w:eastAsiaTheme="minorEastAsia"/>
      <w:sz w:val="24"/>
      <w:szCs w:val="20"/>
      <w:lang w:eastAsia="pl-PL"/>
    </w:rPr>
  </w:style>
  <w:style w:type="character" w:styleId="StylNagwek2PogrubienieZnak" w:customStyle="1">
    <w:name w:val="Styl Nagłówek 2 + Pogrubienie Znak"/>
    <w:basedOn w:val="Nagwek2Znak"/>
    <w:link w:val="StylNagwek2Pogrubienie"/>
    <w:qFormat/>
    <w:rsid w:val="001871cf"/>
    <w:rPr>
      <w:rFonts w:ascii="Calibri Light" w:hAnsi="Calibri Light" w:eastAsia="" w:cs="Times New Roman" w:eastAsiaTheme="minorEastAsia"/>
      <w:b w:val="false"/>
      <w:bCs w:val="false"/>
      <w:i/>
      <w:iCs/>
      <w:sz w:val="28"/>
      <w:szCs w:val="28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DataZnak" w:customStyle="1">
    <w:name w:val="Data Znak"/>
    <w:basedOn w:val="DefaultParagraphFont"/>
    <w:link w:val="Data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ormalZnak" w:customStyle="1">
    <w:name w:val="normal Znak"/>
    <w:basedOn w:val="DefaultParagraphFont"/>
    <w:link w:val="Normalny1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Nagwek1Znak1" w:customStyle="1">
    <w:name w:val="Nagłówek 1 Znak1"/>
    <w:basedOn w:val="DefaultParagraphFont"/>
    <w:qFormat/>
    <w:rsid w:val="001871cf"/>
    <w:rPr>
      <w:rFonts w:cs="Arial"/>
      <w:b/>
      <w:iCs/>
      <w:kern w:val="2"/>
      <w:sz w:val="22"/>
      <w:szCs w:val="24"/>
    </w:rPr>
  </w:style>
  <w:style w:type="character" w:styleId="StylPogrubienie" w:customStyle="1">
    <w:name w:val="Styl Pogrubienie"/>
    <w:basedOn w:val="DefaultParagraphFont"/>
    <w:qFormat/>
    <w:rsid w:val="001871cf"/>
    <w:rPr>
      <w:b/>
    </w:rPr>
  </w:style>
  <w:style w:type="character" w:styleId="Nagwek2Title2ZnakZnak" w:customStyle="1">
    <w:name w:val="Nagłówek 2;Title 2 Znak Znak"/>
    <w:basedOn w:val="DefaultParagraphFont"/>
    <w:qFormat/>
    <w:rsid w:val="001871cf"/>
    <w:rPr>
      <w:rFonts w:cs="Arial"/>
      <w:b/>
      <w:kern w:val="2"/>
      <w:szCs w:val="24"/>
      <w:lang w:val="pl-PL" w:eastAsia="ar-SA" w:bidi="ar-SA"/>
    </w:rPr>
  </w:style>
  <w:style w:type="character" w:styleId="ZnakZnak3" w:customStyle="1">
    <w:name w:val="Znak Znak3"/>
    <w:basedOn w:val="DefaultParagraphFont"/>
    <w:qFormat/>
    <w:rsid w:val="001871cf"/>
    <w:rPr>
      <w:rFonts w:cs="Arial"/>
      <w:b/>
      <w:iCs/>
      <w:szCs w:val="26"/>
      <w:lang w:val="pl-PL" w:eastAsia="pl-PL" w:bidi="ar-SA"/>
    </w:rPr>
  </w:style>
  <w:style w:type="character" w:styleId="Nagwek1Title1ZnakZnak1" w:customStyle="1">
    <w:name w:val="Nagłówek 1;Title 1 Znak Znak1"/>
    <w:basedOn w:val="DefaultParagraphFont"/>
    <w:qFormat/>
    <w:rsid w:val="001871cf"/>
    <w:rPr>
      <w:rFonts w:cs="Arial"/>
      <w:b/>
      <w:iCs/>
      <w:caps/>
      <w:kern w:val="2"/>
      <w:lang w:val="pl-PL" w:eastAsia="ar-SA" w:bidi="ar-SA"/>
    </w:rPr>
  </w:style>
  <w:style w:type="character" w:styleId="Tekstpodstawowy3Znak" w:customStyle="1">
    <w:name w:val="Tekst podstawowy 3 Znak"/>
    <w:basedOn w:val="DefaultParagraphFont"/>
    <w:link w:val="Tekstpodstawowy3"/>
    <w:qFormat/>
    <w:rsid w:val="001871cf"/>
    <w:rPr>
      <w:rFonts w:ascii="Arial" w:hAnsi="Arial" w:eastAsia="" w:cs="Arial" w:eastAsiaTheme="minorEastAsia"/>
      <w:sz w:val="16"/>
      <w:szCs w:val="16"/>
      <w:lang w:eastAsia="pl-PL"/>
    </w:rPr>
  </w:style>
  <w:style w:type="character" w:styleId="Title2ZnakZnakZnak" w:customStyle="1">
    <w:name w:val="Title 2 Znak Znak Znak"/>
    <w:basedOn w:val="DefaultParagraphFont"/>
    <w:qFormat/>
    <w:rsid w:val="001871cf"/>
    <w:rPr>
      <w:rFonts w:cs="Arial"/>
      <w:b/>
      <w:kern w:val="2"/>
      <w:szCs w:val="24"/>
      <w:lang w:val="pl-PL" w:eastAsia="pl-PL" w:bidi="ar-SA"/>
    </w:rPr>
  </w:style>
  <w:style w:type="character" w:styleId="Title1ZnakZnak" w:customStyle="1">
    <w:name w:val="Title 1 Znak Znak"/>
    <w:basedOn w:val="DefaultParagraphFont"/>
    <w:qFormat/>
    <w:rsid w:val="001871cf"/>
    <w:rPr>
      <w:rFonts w:cs="Arial"/>
      <w:b/>
      <w:iCs/>
      <w:caps/>
      <w:kern w:val="2"/>
      <w:lang w:val="pl-PL" w:eastAsia="pl-PL" w:bidi="ar-SA"/>
    </w:rPr>
  </w:style>
  <w:style w:type="character" w:styleId="Nagwek2ZnakZnak" w:customStyle="1">
    <w:name w:val="Nagłówek 2 Znak Znak"/>
    <w:basedOn w:val="DefaultParagraphFont"/>
    <w:qFormat/>
    <w:rsid w:val="001871cf"/>
    <w:rPr>
      <w:rFonts w:cs="Arial"/>
      <w:b/>
      <w:kern w:val="2"/>
      <w:szCs w:val="24"/>
      <w:lang w:val="pl-PL" w:eastAsia="pl-PL" w:bidi="ar-SA"/>
    </w:rPr>
  </w:style>
  <w:style w:type="character" w:styleId="Nagwek3ZnakZnak" w:customStyle="1">
    <w:name w:val="Nagłówek 3 Znak Znak"/>
    <w:basedOn w:val="DefaultParagraphFont"/>
    <w:qFormat/>
    <w:rsid w:val="001871cf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styleId="Nagwek1ZnakZnak" w:customStyle="1">
    <w:name w:val="Nagłówek 1 Znak Znak"/>
    <w:basedOn w:val="DefaultParagraphFont"/>
    <w:qFormat/>
    <w:rsid w:val="001871cf"/>
    <w:rPr>
      <w:rFonts w:cs="Arial"/>
      <w:b/>
      <w:iCs/>
      <w:caps/>
      <w:kern w:val="2"/>
      <w:lang w:val="pl-PL" w:eastAsia="pl-PL" w:bidi="ar-SA"/>
    </w:rPr>
  </w:style>
  <w:style w:type="character" w:styleId="Nagwek2Title2ZnakZnakTitle2ZnakZnak1" w:customStyle="1">
    <w:name w:val="Nagłówek 2;Title 2 Znak Znak;Title 2 Znak Znak1"/>
    <w:basedOn w:val="DefaultParagraphFont"/>
    <w:qFormat/>
    <w:rsid w:val="001871cf"/>
    <w:rPr>
      <w:rFonts w:ascii="Arial" w:hAnsi="Arial" w:cs="Arial"/>
      <w:b/>
      <w:kern w:val="2"/>
      <w:sz w:val="18"/>
      <w:szCs w:val="24"/>
      <w:lang w:val="pl-PL" w:eastAsia="pl-PL" w:bidi="ar-SA"/>
    </w:rPr>
  </w:style>
  <w:style w:type="character" w:styleId="Nagwek1Title1ZnakZnak2" w:customStyle="1">
    <w:name w:val="Nagłówek 1;Title 1 Znak Znak2"/>
    <w:basedOn w:val="DefaultParagraphFont"/>
    <w:qFormat/>
    <w:rsid w:val="001871cf"/>
    <w:rPr>
      <w:rFonts w:ascii="Arial" w:hAnsi="Arial" w:cs="Arial"/>
      <w:b/>
      <w:iCs/>
      <w:caps/>
      <w:kern w:val="2"/>
      <w:sz w:val="18"/>
      <w:lang w:val="pl-PL" w:eastAsia="pl-PL" w:bidi="ar-SA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871cf"/>
    <w:rPr>
      <w:rFonts w:ascii="Segoe UI" w:hAnsi="Segoe UI" w:eastAsia="" w:cs="Segoe UI" w:eastAsiaTheme="minorEastAsia"/>
      <w:sz w:val="18"/>
      <w:szCs w:val="18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semiHidden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semiHidden/>
    <w:qFormat/>
    <w:rsid w:val="001871cf"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semiHidden/>
    <w:qFormat/>
    <w:rsid w:val="001871cf"/>
    <w:rPr>
      <w:vertAlign w:val="superscript"/>
    </w:rPr>
  </w:style>
  <w:style w:type="character" w:styleId="Tekstpodstawowywcity3Znak" w:customStyle="1">
    <w:name w:val="Tekst podstawowy wcięty 3 Znak"/>
    <w:basedOn w:val="DefaultParagraphFont"/>
    <w:link w:val="Tekstpodstawowywcity3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ylNormalny1210ptNiePogrubienieZnak" w:customStyle="1">
    <w:name w:val="Styl Normalny 12 + 10 pt Nie Pogrubienie Znak"/>
    <w:basedOn w:val="Normalny12Znak"/>
    <w:link w:val="StylNormalny1210ptNiePogrubienie"/>
    <w:qFormat/>
    <w:rsid w:val="001871cf"/>
    <w:rPr>
      <w:rFonts w:ascii="Arial" w:hAnsi="Arial" w:eastAsia="" w:cs="Arial" w:eastAsiaTheme="minorEastAsia"/>
      <w:b/>
      <w:bCs/>
      <w:iCs/>
      <w:sz w:val="20"/>
      <w:szCs w:val="24"/>
      <w:lang w:eastAsia="pl-PL"/>
    </w:rPr>
  </w:style>
  <w:style w:type="character" w:styleId="Odwiedzoneczeinternetowe">
    <w:name w:val="Odwiedzone łącze internetowe"/>
    <w:basedOn w:val="DefaultParagraphFont"/>
    <w:rsid w:val="001871cf"/>
    <w:rPr>
      <w:color w:val="800080"/>
      <w:u w:val="single"/>
    </w:rPr>
  </w:style>
  <w:style w:type="character" w:styleId="Tekstpodstawowywcity2Znak" w:customStyle="1">
    <w:name w:val="Tekst podstawowy wcięty 2 Znak"/>
    <w:basedOn w:val="DefaultParagraphFont"/>
    <w:link w:val="Tekstpodstawowywcity2"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TekstkomentarzaZnak" w:customStyle="1">
    <w:name w:val="Tekst komentarza Znak"/>
    <w:basedOn w:val="DefaultParagraphFont"/>
    <w:link w:val="Tekstkomentarza"/>
    <w:semiHidden/>
    <w:qFormat/>
    <w:rsid w:val="001871cf"/>
    <w:rPr>
      <w:rFonts w:ascii="Arial" w:hAnsi="Arial" w:eastAsia="" w:cs="Arial" w:eastAsiaTheme="minorEastAsia"/>
      <w:sz w:val="20"/>
      <w:szCs w:val="20"/>
      <w:lang w:eastAsia="pl-PL"/>
    </w:rPr>
  </w:style>
  <w:style w:type="character" w:styleId="StylNagwek1Po0ptZnak" w:customStyle="1">
    <w:name w:val="Styl Nagłówek 1 + Po:  0 pt Znak"/>
    <w:basedOn w:val="Nagwek1Znak1"/>
    <w:link w:val="StylNagwek1Po0pt"/>
    <w:qFormat/>
    <w:rsid w:val="001871cf"/>
    <w:rPr>
      <w:rFonts w:ascii="Calibri Light" w:hAnsi="Calibri Light" w:eastAsia="" w:cs="Times New Roman" w:eastAsiaTheme="minorEastAsia"/>
      <w:b/>
      <w:iCs w:val="false"/>
      <w:kern w:val="2"/>
      <w:sz w:val="32"/>
      <w:szCs w:val="32"/>
      <w:lang w:eastAsia="pl-PL"/>
    </w:rPr>
  </w:style>
  <w:style w:type="character" w:styleId="Normalny12Znak" w:customStyle="1">
    <w:name w:val="Normalny 12 Znak"/>
    <w:basedOn w:val="DefaultParagraphFont"/>
    <w:link w:val="Normalny12"/>
    <w:qFormat/>
    <w:rsid w:val="001871cf"/>
    <w:rPr>
      <w:rFonts w:ascii="Arial" w:hAnsi="Arial" w:eastAsia="" w:cs="Arial" w:eastAsiaTheme="minorEastAsia"/>
      <w:b/>
      <w:sz w:val="20"/>
      <w:szCs w:val="20"/>
      <w:lang w:eastAsia="pl-PL"/>
    </w:rPr>
  </w:style>
  <w:style w:type="character" w:styleId="ZnakZnak1" w:customStyle="1">
    <w:name w:val="Znak Znak1"/>
    <w:basedOn w:val="DefaultParagraphFont"/>
    <w:qFormat/>
    <w:rsid w:val="001871cf"/>
    <w:rPr>
      <w:rFonts w:cs="Arial"/>
      <w:b/>
      <w:iCs/>
      <w:szCs w:val="26"/>
      <w:lang w:val="pl-PL" w:eastAsia="pl-PL" w:bidi="ar-SA"/>
    </w:rPr>
  </w:style>
  <w:style w:type="character" w:styleId="Annotationreference">
    <w:name w:val="annotation reference"/>
    <w:basedOn w:val="DefaultParagraphFont"/>
    <w:semiHidden/>
    <w:qFormat/>
    <w:rsid w:val="001871cf"/>
    <w:rPr>
      <w:sz w:val="16"/>
      <w:szCs w:val="16"/>
    </w:rPr>
  </w:style>
  <w:style w:type="character" w:styleId="TematkomentarzaZnak" w:customStyle="1">
    <w:name w:val="Temat komentarza Znak"/>
    <w:basedOn w:val="TekstkomentarzaZnak"/>
    <w:link w:val="Tematkomentarza"/>
    <w:semiHidden/>
    <w:qFormat/>
    <w:rsid w:val="001871cf"/>
    <w:rPr>
      <w:rFonts w:ascii="Arial" w:hAnsi="Arial" w:eastAsia="" w:cs="Arial" w:eastAsiaTheme="minorEastAsia"/>
      <w:b/>
      <w:sz w:val="20"/>
      <w:szCs w:val="20"/>
      <w:lang w:eastAsia="pl-PL"/>
    </w:rPr>
  </w:style>
  <w:style w:type="character" w:styleId="PKT2Znak" w:customStyle="1">
    <w:name w:val="#PKT 2 Znak"/>
    <w:link w:val="PKT2"/>
    <w:qFormat/>
    <w:rsid w:val="00bb06df"/>
    <w:rPr>
      <w:rFonts w:ascii="Arial" w:hAnsi="Arial" w:eastAsia="Batang" w:cs="Times New Roman"/>
      <w:b/>
      <w:sz w:val="20"/>
      <w:szCs w:val="24"/>
      <w:lang w:eastAsia="pl-PL"/>
    </w:rPr>
  </w:style>
  <w:style w:type="character" w:styleId="TEKST1TreZnak1" w:customStyle="1">
    <w:name w:val="TEKST_1 Treść Znak1"/>
    <w:link w:val="TEKST1Tre"/>
    <w:qFormat/>
    <w:rsid w:val="001871cf"/>
    <w:rPr>
      <w:rFonts w:ascii="Arial" w:hAnsi="Arial" w:eastAsia="Times New Roman" w:cs="Times New Roman"/>
      <w:sz w:val="20"/>
      <w:szCs w:val="20"/>
      <w:lang w:eastAsia="pl-PL"/>
    </w:rPr>
  </w:style>
  <w:style w:type="character" w:styleId="PKT1Znak" w:customStyle="1">
    <w:name w:val="#PKT 1 Znak"/>
    <w:link w:val="PKT1"/>
    <w:qFormat/>
    <w:rsid w:val="001871cf"/>
    <w:rPr>
      <w:rFonts w:ascii="Arial" w:hAnsi="Arial" w:eastAsia="Batang" w:cs="Times New Roman"/>
      <w:b/>
      <w:sz w:val="20"/>
      <w:szCs w:val="20"/>
      <w:lang w:eastAsia="pl-PL"/>
    </w:rPr>
  </w:style>
  <w:style w:type="character" w:styleId="PKT0Znak" w:customStyle="1">
    <w:name w:val="#PKT 0 Znak"/>
    <w:link w:val="PKT0"/>
    <w:qFormat/>
    <w:locked/>
    <w:rsid w:val="001871cf"/>
    <w:rPr>
      <w:rFonts w:ascii="Arial" w:hAnsi="Arial" w:eastAsia="Batang" w:cs="Times New Roman"/>
      <w:b/>
      <w:sz w:val="32"/>
      <w:szCs w:val="28"/>
    </w:rPr>
  </w:style>
  <w:style w:type="character" w:styleId="PlandokumentuZnak" w:customStyle="1">
    <w:name w:val="Plan dokumentu Znak"/>
    <w:basedOn w:val="DefaultParagraphFont"/>
    <w:link w:val="Plandokumentu"/>
    <w:uiPriority w:val="99"/>
    <w:semiHidden/>
    <w:qFormat/>
    <w:rsid w:val="001871cf"/>
    <w:rPr>
      <w:rFonts w:ascii="Tahoma" w:hAnsi="Tahoma" w:eastAsia="" w:cs="Tahoma" w:eastAsiaTheme="minorEastAsia"/>
      <w:sz w:val="20"/>
      <w:szCs w:val="20"/>
      <w:shd w:fill="000080" w:val="clear"/>
      <w:lang w:eastAsia="pl-PL"/>
    </w:rPr>
  </w:style>
  <w:style w:type="character" w:styleId="SubtleReference">
    <w:name w:val="Subtle Reference"/>
    <w:uiPriority w:val="99"/>
    <w:qFormat/>
    <w:rsid w:val="001871cf"/>
    <w:rPr>
      <w:rFonts w:cs="Times New Roman"/>
      <w:smallCaps/>
      <w:color w:val="5A5A5A"/>
    </w:rPr>
  </w:style>
  <w:style w:type="character" w:styleId="TytuZnak" w:customStyle="1">
    <w:name w:val="Tytuł Znak"/>
    <w:basedOn w:val="DefaultParagraphFont"/>
    <w:link w:val="Tytu0"/>
    <w:uiPriority w:val="99"/>
    <w:qFormat/>
    <w:rsid w:val="001871cf"/>
    <w:rPr>
      <w:rFonts w:ascii="Calibri Light" w:hAnsi="Calibri Light" w:eastAsia="" w:cs="Times New Roman" w:eastAsiaTheme="minorEastAsia"/>
      <w:b/>
      <w:bCs/>
      <w:kern w:val="2"/>
      <w:sz w:val="32"/>
      <w:szCs w:val="3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1871cf"/>
    <w:pPr>
      <w:spacing w:lineRule="auto" w:line="360" w:before="100" w:after="100"/>
    </w:pPr>
    <w:rPr/>
  </w:style>
  <w:style w:type="paragraph" w:styleId="Lista">
    <w:name w:val="List"/>
    <w:basedOn w:val="Normal"/>
    <w:rsid w:val="001871cf"/>
    <w:pPr>
      <w:spacing w:lineRule="exact" w:line="360"/>
      <w:ind w:left="284" w:hanging="284"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ylNagwek2" w:customStyle="1">
    <w:name w:val="Styl Nagłówek 2"/>
    <w:basedOn w:val="Nagwek2"/>
    <w:qFormat/>
    <w:rsid w:val="001871cf"/>
    <w:pPr/>
    <w:rPr>
      <w:b w:val="false"/>
    </w:rPr>
  </w:style>
  <w:style w:type="paragraph" w:styleId="StylNormalny" w:customStyle="1">
    <w:name w:val="Styl Normalny"/>
    <w:basedOn w:val="Normal"/>
    <w:qFormat/>
    <w:rsid w:val="001871cf"/>
    <w:pPr>
      <w:spacing w:before="240" w:after="0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871c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871c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ny3" w:customStyle="1">
    <w:name w:val="normalny 3"/>
    <w:basedOn w:val="Normal"/>
    <w:link w:val="normalny3Znak"/>
    <w:qFormat/>
    <w:rsid w:val="001871cf"/>
    <w:pPr>
      <w:spacing w:before="60" w:after="0"/>
    </w:pPr>
    <w:rPr/>
  </w:style>
  <w:style w:type="paragraph" w:styleId="Tabela" w:customStyle="1">
    <w:name w:val="Tabela"/>
    <w:basedOn w:val="Normal"/>
    <w:link w:val="TabelaZnak"/>
    <w:qFormat/>
    <w:rsid w:val="001871cf"/>
    <w:pPr>
      <w:spacing w:before="120" w:after="0"/>
      <w:jc w:val="center"/>
    </w:pPr>
    <w:rPr>
      <w:sz w:val="18"/>
    </w:rPr>
  </w:style>
  <w:style w:type="paragraph" w:styleId="TytuSST" w:customStyle="1">
    <w:name w:val="Tytuł SST"/>
    <w:basedOn w:val="Normal"/>
    <w:qFormat/>
    <w:rsid w:val="001871cf"/>
    <w:pPr>
      <w:tabs>
        <w:tab w:val="clear" w:pos="708"/>
        <w:tab w:val="left" w:pos="2126" w:leader="none"/>
      </w:tabs>
      <w:spacing w:before="60" w:after="0"/>
      <w:jc w:val="center"/>
    </w:pPr>
    <w:rPr>
      <w:sz w:val="22"/>
      <w:u w:val="single"/>
    </w:rPr>
  </w:style>
  <w:style w:type="paragraph" w:styleId="Kropka" w:customStyle="1">
    <w:name w:val="Kropka"/>
    <w:basedOn w:val="Normal"/>
    <w:qFormat/>
    <w:rsid w:val="001871cf"/>
    <w:pPr>
      <w:ind w:left="284" w:hanging="284"/>
    </w:pPr>
    <w:rPr/>
  </w:style>
  <w:style w:type="paragraph" w:styleId="11Pogrubienie" w:customStyle="1">
    <w:name w:val="1.1. Pogrubienie"/>
    <w:basedOn w:val="Normal"/>
    <w:link w:val="11PogrubienieZnakZnak"/>
    <w:qFormat/>
    <w:rsid w:val="001871cf"/>
    <w:pPr>
      <w:spacing w:before="240" w:after="120"/>
    </w:pPr>
    <w:rPr>
      <w:b/>
      <w:sz w:val="24"/>
    </w:rPr>
  </w:style>
  <w:style w:type="paragraph" w:styleId="Normal12" w:customStyle="1">
    <w:name w:val="Normal 12"/>
    <w:basedOn w:val="Normal"/>
    <w:link w:val="Normal12Znak"/>
    <w:qFormat/>
    <w:rsid w:val="001871cf"/>
    <w:pPr>
      <w:spacing w:before="240" w:after="0"/>
    </w:pPr>
    <w:rPr/>
  </w:style>
  <w:style w:type="paragraph" w:styleId="Normal1" w:customStyle="1">
    <w:name w:val="Normal 1"/>
    <w:basedOn w:val="Normal"/>
    <w:link w:val="Normal1Znak"/>
    <w:qFormat/>
    <w:rsid w:val="001871cf"/>
    <w:pPr>
      <w:spacing w:before="240" w:after="0"/>
    </w:pPr>
    <w:rPr/>
  </w:style>
  <w:style w:type="paragraph" w:styleId="Styl1" w:customStyle="1">
    <w:name w:val="Styl1"/>
    <w:basedOn w:val="Normal"/>
    <w:link w:val="Styl1Znak"/>
    <w:qFormat/>
    <w:rsid w:val="001871cf"/>
    <w:pPr>
      <w:tabs>
        <w:tab w:val="clear" w:pos="708"/>
        <w:tab w:val="left" w:pos="340" w:leader="none"/>
      </w:tabs>
    </w:pPr>
    <w:rPr/>
  </w:style>
  <w:style w:type="paragraph" w:styleId="StylNagwek3NiePogrubienie" w:customStyle="1">
    <w:name w:val="Styl Nagłówek 3 + Nie Pogrubienie"/>
    <w:basedOn w:val="Nagwek3"/>
    <w:qFormat/>
    <w:rsid w:val="001871cf"/>
    <w:pPr/>
    <w:rPr>
      <w:b w:val="false"/>
      <w:iCs/>
    </w:rPr>
  </w:style>
  <w:style w:type="paragraph" w:styleId="StylNagwek3NiePogrubienie1" w:customStyle="1">
    <w:name w:val="Styl Nagłówek 3 + Nie Pogrubienie1"/>
    <w:basedOn w:val="Nagwek3"/>
    <w:qFormat/>
    <w:rsid w:val="001871cf"/>
    <w:pPr/>
    <w:rPr>
      <w:b w:val="false"/>
      <w:iCs/>
    </w:rPr>
  </w:style>
  <w:style w:type="paragraph" w:styleId="Normalnypunkt" w:customStyle="1">
    <w:name w:val="normalny punkt"/>
    <w:basedOn w:val="Normal"/>
    <w:qFormat/>
    <w:rsid w:val="001871cf"/>
    <w:pPr>
      <w:spacing w:before="40" w:after="0"/>
    </w:pPr>
    <w:rPr/>
  </w:style>
  <w:style w:type="paragraph" w:styleId="Normalny0" w:customStyle="1">
    <w:name w:val="normalny 0"/>
    <w:basedOn w:val="Normal"/>
    <w:link w:val="normalny0Znak"/>
    <w:qFormat/>
    <w:rsid w:val="001871cf"/>
    <w:pPr>
      <w:tabs>
        <w:tab w:val="clear" w:pos="708"/>
        <w:tab w:val="left" w:pos="510" w:leader="none"/>
        <w:tab w:val="left" w:pos="624" w:leader="none"/>
        <w:tab w:val="left" w:pos="851" w:leader="none"/>
      </w:tabs>
    </w:pPr>
    <w:rPr/>
  </w:style>
  <w:style w:type="paragraph" w:styleId="StylPierwszywiersz05cm" w:customStyle="1">
    <w:name w:val="Styl Pierwszy wiersz:  05 cm"/>
    <w:basedOn w:val="Normal"/>
    <w:next w:val="Normal"/>
    <w:link w:val="StylPierwszywiersz05cmZnak"/>
    <w:qFormat/>
    <w:rsid w:val="001871cf"/>
    <w:pPr>
      <w:ind w:firstLine="567"/>
    </w:pPr>
    <w:rPr/>
  </w:style>
  <w:style w:type="paragraph" w:styleId="StylPierwszywiersz1cm" w:customStyle="1">
    <w:name w:val="Styl Pierwszy wiersz:  1 cm"/>
    <w:basedOn w:val="Normal"/>
    <w:link w:val="StylPierwszywiersz1cmZnak"/>
    <w:qFormat/>
    <w:rsid w:val="001871cf"/>
    <w:pPr>
      <w:ind w:firstLine="567"/>
    </w:pPr>
    <w:rPr/>
  </w:style>
  <w:style w:type="paragraph" w:styleId="StylNagwek1Wyjustowany" w:customStyle="1">
    <w:name w:val="Styl Nagłówek 1 + Wyjustowany"/>
    <w:basedOn w:val="Nagwek1"/>
    <w:qFormat/>
    <w:rsid w:val="001871cf"/>
    <w:pPr>
      <w:jc w:val="both"/>
    </w:pPr>
    <w:rPr>
      <w:bCs w:val="false"/>
    </w:rPr>
  </w:style>
  <w:style w:type="paragraph" w:styleId="StylWyjustowany" w:customStyle="1">
    <w:name w:val="Styl Wyjustowany"/>
    <w:basedOn w:val="Normal"/>
    <w:link w:val="StylWyjustowanyZnak"/>
    <w:qFormat/>
    <w:rsid w:val="001871cf"/>
    <w:pPr/>
    <w:rPr/>
  </w:style>
  <w:style w:type="paragraph" w:styleId="ListBullet3">
    <w:name w:val="List Bullet 3"/>
    <w:basedOn w:val="Normal"/>
    <w:qFormat/>
    <w:rsid w:val="001871cf"/>
    <w:pPr>
      <w:tabs>
        <w:tab w:val="clear" w:pos="708"/>
        <w:tab w:val="left" w:pos="926" w:leader="none"/>
      </w:tabs>
      <w:ind w:left="926" w:hanging="360"/>
    </w:pPr>
    <w:rPr/>
  </w:style>
  <w:style w:type="paragraph" w:styleId="Litera" w:customStyle="1">
    <w:name w:val="Litera"/>
    <w:basedOn w:val="Normal"/>
    <w:next w:val="Normal"/>
    <w:qFormat/>
    <w:rsid w:val="001871cf"/>
    <w:pPr>
      <w:tabs>
        <w:tab w:val="clear" w:pos="708"/>
        <w:tab w:val="left" w:pos="397" w:leader="none"/>
      </w:tabs>
      <w:ind w:left="397" w:hanging="397"/>
    </w:pPr>
    <w:rPr/>
  </w:style>
  <w:style w:type="paragraph" w:styleId="11Normal1" w:customStyle="1">
    <w:name w:val="1.1. Normal 1"/>
    <w:basedOn w:val="Normal"/>
    <w:link w:val="11Normal1Znak"/>
    <w:qFormat/>
    <w:rsid w:val="001871cf"/>
    <w:pPr>
      <w:spacing w:before="240" w:after="0"/>
    </w:pPr>
    <w:rPr/>
  </w:style>
  <w:style w:type="paragraph" w:styleId="Styl11Normal1Pogrubienie" w:customStyle="1">
    <w:name w:val="Styl 1.1. Normal 1 + Pogrubienie"/>
    <w:basedOn w:val="11Normal1"/>
    <w:link w:val="Styl11Normal1PogrubienieZnak"/>
    <w:qFormat/>
    <w:rsid w:val="001871cf"/>
    <w:pPr/>
    <w:rPr>
      <w:b/>
      <w:bCs/>
    </w:rPr>
  </w:style>
  <w:style w:type="paragraph" w:styleId="Norm12" w:customStyle="1">
    <w:name w:val="Norm 12"/>
    <w:basedOn w:val="Normal"/>
    <w:qFormat/>
    <w:rsid w:val="001871cf"/>
    <w:pPr>
      <w:spacing w:before="240" w:after="0"/>
    </w:pPr>
    <w:rPr/>
  </w:style>
  <w:style w:type="paragraph" w:styleId="Wyjust12" w:customStyle="1">
    <w:name w:val="Wyjust 12"/>
    <w:basedOn w:val="StylWyjustowany"/>
    <w:qFormat/>
    <w:rsid w:val="001871cf"/>
    <w:pPr>
      <w:spacing w:before="240" w:after="0"/>
    </w:pPr>
    <w:rPr/>
  </w:style>
  <w:style w:type="paragraph" w:styleId="Tekst" w:customStyle="1">
    <w:name w:val="Tekst"/>
    <w:basedOn w:val="Normal"/>
    <w:link w:val="TekstZnak"/>
    <w:qFormat/>
    <w:rsid w:val="001871cf"/>
    <w:pPr>
      <w:suppressLineNumbers/>
      <w:tabs>
        <w:tab w:val="clear" w:pos="708"/>
        <w:tab w:val="left" w:pos="0" w:leader="none"/>
        <w:tab w:val="left" w:pos="1134" w:leader="none"/>
        <w:tab w:val="left" w:pos="1701" w:leader="dot"/>
        <w:tab w:val="right" w:pos="9354" w:leader="none"/>
      </w:tabs>
      <w:spacing w:lineRule="atLeast" w:line="200"/>
      <w:textAlignment w:val="top"/>
    </w:pPr>
    <w:rPr>
      <w:kern w:val="2"/>
    </w:rPr>
  </w:style>
  <w:style w:type="paragraph" w:styleId="ListBullet2">
    <w:name w:val="List Bullet 2"/>
    <w:basedOn w:val="Normal"/>
    <w:autoRedefine/>
    <w:qFormat/>
    <w:rsid w:val="001871cf"/>
    <w:pPr/>
    <w:rPr/>
  </w:style>
  <w:style w:type="paragraph" w:styleId="Caption">
    <w:name w:val="caption"/>
    <w:basedOn w:val="Normal"/>
    <w:next w:val="Normal"/>
    <w:uiPriority w:val="99"/>
    <w:qFormat/>
    <w:rsid w:val="001871cf"/>
    <w:pPr/>
    <w:rPr/>
  </w:style>
  <w:style w:type="paragraph" w:styleId="Kreska" w:customStyle="1">
    <w:name w:val="Kreska"/>
    <w:basedOn w:val="Normal"/>
    <w:qFormat/>
    <w:rsid w:val="001871cf"/>
    <w:pPr>
      <w:ind w:left="284" w:hanging="284"/>
    </w:pPr>
    <w:rPr/>
  </w:style>
  <w:style w:type="paragraph" w:styleId="Lista2">
    <w:name w:val="List Bullet 3"/>
    <w:basedOn w:val="Normal"/>
    <w:rsid w:val="001871cf"/>
    <w:pPr>
      <w:ind w:left="566" w:hanging="283"/>
    </w:pPr>
    <w:rPr/>
  </w:style>
  <w:style w:type="paragraph" w:styleId="Standardowypodkrelony" w:customStyle="1">
    <w:name w:val="Standardowy_podkreślony"/>
    <w:basedOn w:val="Normal"/>
    <w:qFormat/>
    <w:rsid w:val="001871cf"/>
    <w:pPr>
      <w:spacing w:lineRule="exact" w:line="360"/>
    </w:pPr>
    <w:rPr>
      <w:u w:val="single"/>
    </w:rPr>
  </w:style>
  <w:style w:type="paragraph" w:styleId="Wzr" w:customStyle="1">
    <w:name w:val="Wzór"/>
    <w:basedOn w:val="Normal"/>
    <w:qFormat/>
    <w:rsid w:val="001871cf"/>
    <w:pPr>
      <w:spacing w:lineRule="atLeast" w:line="240" w:before="0" w:after="120"/>
      <w:jc w:val="center"/>
    </w:pPr>
    <w:rPr/>
  </w:style>
  <w:style w:type="paragraph" w:styleId="Tytuspecyfikacji" w:customStyle="1">
    <w:name w:val="Tytuł_specyfikacji"/>
    <w:basedOn w:val="Normal"/>
    <w:qFormat/>
    <w:rsid w:val="001871cf"/>
    <w:pPr>
      <w:spacing w:before="360" w:after="0"/>
    </w:pPr>
    <w:rPr>
      <w:b/>
      <w:sz w:val="28"/>
    </w:rPr>
  </w:style>
  <w:style w:type="paragraph" w:styleId="Podpispodrysunkiem2" w:customStyle="1">
    <w:name w:val="Podpis pod rysunkiem2"/>
    <w:basedOn w:val="Caption"/>
    <w:qFormat/>
    <w:rsid w:val="001871cf"/>
    <w:pPr>
      <w:keepNext w:val="true"/>
      <w:spacing w:before="0" w:after="120"/>
    </w:pPr>
    <w:rPr>
      <w:b/>
      <w:caps/>
    </w:rPr>
  </w:style>
  <w:style w:type="paragraph" w:styleId="Closing">
    <w:name w:val="Closing"/>
    <w:basedOn w:val="Normal"/>
    <w:link w:val="ZwrotpoegnalnyZnak"/>
    <w:qFormat/>
    <w:rsid w:val="001871cf"/>
    <w:pPr>
      <w:ind w:left="4252" w:hanging="0"/>
    </w:pPr>
    <w:rPr/>
  </w:style>
  <w:style w:type="paragraph" w:styleId="Envelopeaddress">
    <w:name w:val="envelope address"/>
    <w:basedOn w:val="Normal"/>
    <w:qFormat/>
    <w:rsid w:val="001871cf"/>
    <w:pPr>
      <w:ind w:left="2880" w:hanging="0"/>
    </w:pPr>
    <w:rPr/>
  </w:style>
  <w:style w:type="paragraph" w:styleId="Wcicietrecitekstu">
    <w:name w:val="Body Text Indent"/>
    <w:basedOn w:val="Normal"/>
    <w:link w:val="TekstpodstawowywcityZnak"/>
    <w:rsid w:val="001871cf"/>
    <w:pPr>
      <w:spacing w:before="0" w:after="120"/>
      <w:ind w:left="283" w:hanging="0"/>
    </w:pPr>
    <w:rPr/>
  </w:style>
  <w:style w:type="paragraph" w:styleId="BodyText2">
    <w:name w:val="Body Text 2"/>
    <w:basedOn w:val="Normal"/>
    <w:link w:val="Tekstpodstawowy2Znak"/>
    <w:qFormat/>
    <w:rsid w:val="001871cf"/>
    <w:pPr/>
    <w:rPr>
      <w:b/>
    </w:rPr>
  </w:style>
  <w:style w:type="paragraph" w:styleId="Rysunek" w:customStyle="1">
    <w:name w:val="Table of Figures"/>
    <w:basedOn w:val="Normal"/>
    <w:rsid w:val="001871cf"/>
    <w:pPr>
      <w:spacing w:lineRule="atLeast" w:line="240"/>
    </w:pPr>
    <w:rPr/>
  </w:style>
  <w:style w:type="paragraph" w:styleId="Tekstcourier" w:customStyle="1">
    <w:name w:val="Tekst_courier"/>
    <w:basedOn w:val="PlainText"/>
    <w:qFormat/>
    <w:rsid w:val="001871cf"/>
    <w:pPr>
      <w:tabs>
        <w:tab w:val="clear" w:pos="708"/>
        <w:tab w:val="left" w:pos="2268" w:leader="none"/>
        <w:tab w:val="left" w:pos="2835" w:leader="none"/>
        <w:tab w:val="left" w:pos="3402" w:leader="none"/>
      </w:tabs>
    </w:pPr>
    <w:rPr>
      <w:rFonts w:cs="Times New Roman"/>
      <w:sz w:val="24"/>
    </w:rPr>
  </w:style>
  <w:style w:type="paragraph" w:styleId="PlainText">
    <w:name w:val="Plain Text"/>
    <w:basedOn w:val="Normal"/>
    <w:link w:val="ZwykytekstZnak"/>
    <w:qFormat/>
    <w:rsid w:val="001871cf"/>
    <w:pPr/>
    <w:rPr>
      <w:rFonts w:ascii="Courier New" w:hAnsi="Courier New" w:cs="Courier New"/>
    </w:rPr>
  </w:style>
  <w:style w:type="paragraph" w:styleId="StylIwony" w:customStyle="1">
    <w:name w:val="Styl Iwony"/>
    <w:basedOn w:val="Normal"/>
    <w:qFormat/>
    <w:rsid w:val="001871cf"/>
    <w:pPr>
      <w:overflowPunct w:val="true"/>
      <w:spacing w:before="0" w:after="120"/>
      <w:textAlignment w:val="baseline"/>
    </w:pPr>
    <w:rPr>
      <w:rFonts w:ascii="Bookman Old Style" w:hAnsi="Bookman Old Style"/>
    </w:rPr>
  </w:style>
  <w:style w:type="paragraph" w:styleId="Tekstost" w:customStyle="1">
    <w:name w:val="tekst ost"/>
    <w:basedOn w:val="Normal"/>
    <w:qFormat/>
    <w:rsid w:val="001871cf"/>
    <w:pPr>
      <w:overflowPunct w:val="true"/>
      <w:textAlignment w:val="baseline"/>
    </w:pPr>
    <w:rPr/>
  </w:style>
  <w:style w:type="paragraph" w:styleId="NormalWeb">
    <w:name w:val="Normal (Web)"/>
    <w:basedOn w:val="Normal"/>
    <w:qFormat/>
    <w:rsid w:val="001871cf"/>
    <w:pPr>
      <w:spacing w:beforeAutospacing="1" w:afterAutospacing="1"/>
    </w:pPr>
    <w:rPr/>
  </w:style>
  <w:style w:type="paragraph" w:styleId="Tekstpodstawowy1" w:customStyle="1">
    <w:name w:val="Tekst podstawowy1"/>
    <w:qFormat/>
    <w:rsid w:val="001871cf"/>
    <w:pPr>
      <w:widowControl w:val="false"/>
      <w:suppressLineNumbers/>
      <w:suppressAutoHyphens w:val="true"/>
      <w:bidi w:val="0"/>
      <w:spacing w:lineRule="auto" w:line="240" w:before="0" w:after="0"/>
      <w:jc w:val="both"/>
    </w:pPr>
    <w:rPr>
      <w:rFonts w:ascii="Arial" w:hAnsi="Arial" w:eastAsia="HG Mincho Light J" w:cs="Times New Roman"/>
      <w:color w:val="000000"/>
      <w:kern w:val="0"/>
      <w:sz w:val="24"/>
      <w:szCs w:val="20"/>
      <w:lang w:eastAsia="pl-PL" w:val="pl-PL" w:bidi="ar-SA"/>
    </w:rPr>
  </w:style>
  <w:style w:type="paragraph" w:styleId="StylNagwek2Pogrubienie" w:customStyle="1">
    <w:name w:val="Styl Nagłówek 2 + Pogrubienie"/>
    <w:basedOn w:val="Nagwek2"/>
    <w:link w:val="StylNagwek2PogrubienieZnak"/>
    <w:qFormat/>
    <w:rsid w:val="001871cf"/>
    <w:pPr>
      <w:tabs>
        <w:tab w:val="clear" w:pos="708"/>
        <w:tab w:val="left" w:pos="0" w:leader="none"/>
        <w:tab w:val="left" w:pos="567" w:leader="none"/>
      </w:tabs>
    </w:pPr>
    <w:rPr>
      <w:b w:val="false"/>
      <w:bCs w:val="false"/>
    </w:rPr>
  </w:style>
  <w:style w:type="paragraph" w:styleId="Wyjust121" w:customStyle="1">
    <w:name w:val="wyjust 12"/>
    <w:basedOn w:val="StylWyjustowany"/>
    <w:qFormat/>
    <w:rsid w:val="001871cf"/>
    <w:pPr>
      <w:tabs>
        <w:tab w:val="clear" w:pos="708"/>
        <w:tab w:val="left" w:pos="284" w:leader="none"/>
        <w:tab w:val="left" w:pos="794" w:leader="none"/>
        <w:tab w:val="left" w:pos="851" w:leader="none"/>
      </w:tabs>
      <w:spacing w:before="240" w:after="0"/>
    </w:pPr>
    <w:rPr/>
  </w:style>
  <w:style w:type="paragraph" w:styleId="Norm121" w:customStyle="1">
    <w:name w:val="norm 12"/>
    <w:basedOn w:val="StylWyjustowany"/>
    <w:link w:val="norm12Znak"/>
    <w:qFormat/>
    <w:rsid w:val="001871cf"/>
    <w:pPr>
      <w:tabs>
        <w:tab w:val="clear" w:pos="708"/>
        <w:tab w:val="left" w:pos="284" w:leader="none"/>
        <w:tab w:val="left" w:pos="794" w:leader="none"/>
        <w:tab w:val="left" w:pos="851" w:leader="none"/>
      </w:tabs>
      <w:spacing w:before="240" w:after="0"/>
    </w:pPr>
    <w:rPr/>
  </w:style>
  <w:style w:type="paragraph" w:styleId="NORM0" w:customStyle="1">
    <w:name w:val="NORM 0"/>
    <w:basedOn w:val="Normal"/>
    <w:link w:val="NORM0Znak"/>
    <w:qFormat/>
    <w:rsid w:val="001871cf"/>
    <w:pPr>
      <w:tabs>
        <w:tab w:val="clear" w:pos="708"/>
        <w:tab w:val="left" w:pos="284" w:leader="none"/>
        <w:tab w:val="left" w:pos="851" w:leader="none"/>
      </w:tabs>
    </w:pPr>
    <w:rPr>
      <w:rFonts w:cs="Times New Roman"/>
      <w:sz w:val="24"/>
    </w:rPr>
  </w:style>
  <w:style w:type="paragraph" w:styleId="Styliwony1" w:customStyle="1">
    <w:name w:val="styliwony"/>
    <w:basedOn w:val="Normal"/>
    <w:qFormat/>
    <w:rsid w:val="001871cf"/>
    <w:pPr>
      <w:spacing w:beforeAutospacing="1" w:afterAutospacing="1"/>
    </w:pPr>
    <w:rPr>
      <w:rFonts w:cs="Times New Roman"/>
      <w:bCs/>
      <w:iCs/>
      <w:sz w:val="24"/>
    </w:rPr>
  </w:style>
  <w:style w:type="paragraph" w:styleId="Przypisdolny">
    <w:name w:val="Footnote Text"/>
    <w:basedOn w:val="Normal"/>
    <w:link w:val="TekstprzypisudolnegoZnak"/>
    <w:semiHidden/>
    <w:rsid w:val="001871cf"/>
    <w:pPr/>
    <w:rPr/>
  </w:style>
  <w:style w:type="paragraph" w:styleId="Date">
    <w:name w:val="Date"/>
    <w:basedOn w:val="Normal"/>
    <w:next w:val="Normal"/>
    <w:link w:val="DataZnak"/>
    <w:qFormat/>
    <w:rsid w:val="001871cf"/>
    <w:pPr/>
    <w:rPr/>
  </w:style>
  <w:style w:type="paragraph" w:styleId="Standardowytekst" w:customStyle="1">
    <w:name w:val="Standardowy.tekst"/>
    <w:qFormat/>
    <w:rsid w:val="001871cf"/>
    <w:pPr>
      <w:widowControl/>
      <w:overflowPunct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7" w:customStyle="1">
    <w:name w:val="7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6" w:customStyle="1">
    <w:name w:val="6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5" w:customStyle="1">
    <w:name w:val="5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4" w:customStyle="1">
    <w:name w:val="4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3" w:customStyle="1">
    <w:name w:val="3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2" w:customStyle="1">
    <w:name w:val="2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1" w:customStyle="1">
    <w:name w:val="1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8" w:customStyle="1">
    <w:name w:val="8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11" w:customStyle="1">
    <w:name w:val="11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10" w:customStyle="1">
    <w:name w:val="10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9" w:customStyle="1">
    <w:name w:val="9"/>
    <w:basedOn w:val="Normal"/>
    <w:next w:val="Gwka"/>
    <w:qFormat/>
    <w:rsid w:val="001871cf"/>
    <w:pPr>
      <w:pBdr>
        <w:bottom w:val="single" w:sz="4" w:space="1" w:color="000000"/>
      </w:pBdr>
      <w:tabs>
        <w:tab w:val="clear" w:pos="708"/>
        <w:tab w:val="center" w:pos="4536" w:leader="none"/>
        <w:tab w:val="right" w:pos="9072" w:leader="none"/>
      </w:tabs>
    </w:pPr>
    <w:rPr>
      <w:i/>
    </w:rPr>
  </w:style>
  <w:style w:type="paragraph" w:styleId="Normalny1" w:customStyle="1">
    <w:name w:val="Normalny1"/>
    <w:basedOn w:val="Normal"/>
    <w:link w:val="normalZnak"/>
    <w:qFormat/>
    <w:rsid w:val="001871cf"/>
    <w:pPr>
      <w:spacing w:before="240" w:after="0"/>
    </w:pPr>
    <w:rPr/>
  </w:style>
  <w:style w:type="paragraph" w:styleId="Norm01" w:customStyle="1">
    <w:name w:val="norm 0"/>
    <w:basedOn w:val="Normal"/>
    <w:qFormat/>
    <w:rsid w:val="001871cf"/>
    <w:pPr/>
    <w:rPr/>
  </w:style>
  <w:style w:type="paragraph" w:styleId="StylTytuSSTZlewej0cmWysunicie375cm" w:customStyle="1">
    <w:name w:val="Styl Tytuł SST + Z lewej:  0 cm Wysunięcie:  375 cm"/>
    <w:basedOn w:val="TytuSST"/>
    <w:qFormat/>
    <w:rsid w:val="001871cf"/>
    <w:pPr>
      <w:tabs>
        <w:tab w:val="clear" w:pos="2126"/>
      </w:tabs>
      <w:ind w:left="1701" w:hanging="1701"/>
    </w:pPr>
    <w:rPr>
      <w:rFonts w:cs="Times New Roman"/>
      <w:iCs/>
    </w:rPr>
  </w:style>
  <w:style w:type="paragraph" w:styleId="NagwekSSTnieparzysty" w:customStyle="1">
    <w:name w:val="Nagłówek - SST - nieparzysty"/>
    <w:basedOn w:val="Standardowytekst"/>
    <w:autoRedefine/>
    <w:qFormat/>
    <w:rsid w:val="001871cf"/>
    <w:pPr>
      <w:tabs>
        <w:tab w:val="clear" w:pos="708"/>
        <w:tab w:val="left" w:pos="355" w:leader="none"/>
      </w:tabs>
      <w:overflowPunct w:val="false"/>
      <w:ind w:right="360" w:hanging="0"/>
      <w:jc w:val="right"/>
    </w:pPr>
    <w:rPr>
      <w:iCs/>
      <w:szCs w:val="24"/>
      <w:lang w:val="en-GB"/>
    </w:rPr>
  </w:style>
  <w:style w:type="paragraph" w:styleId="NormalIndent">
    <w:name w:val="Normal Indent"/>
    <w:basedOn w:val="Normal"/>
    <w:qFormat/>
    <w:rsid w:val="001871cf"/>
    <w:pPr>
      <w:tabs>
        <w:tab w:val="clear" w:pos="708"/>
        <w:tab w:val="left" w:pos="510" w:leader="none"/>
        <w:tab w:val="left" w:pos="624" w:leader="none"/>
        <w:tab w:val="left" w:pos="851" w:leader="none"/>
      </w:tabs>
      <w:ind w:left="708" w:hanging="0"/>
    </w:pPr>
    <w:rPr/>
  </w:style>
  <w:style w:type="paragraph" w:styleId="BodyText3">
    <w:name w:val="Body Text 3"/>
    <w:basedOn w:val="Normal"/>
    <w:link w:val="Tekstpodstawowy3Znak"/>
    <w:qFormat/>
    <w:rsid w:val="001871cf"/>
    <w:pPr>
      <w:spacing w:before="0" w:after="120"/>
    </w:pPr>
    <w:rPr>
      <w:sz w:val="16"/>
      <w:szCs w:val="16"/>
    </w:rPr>
  </w:style>
  <w:style w:type="paragraph" w:styleId="StylTytuSSTZlewej0cmWysunicie375cm1" w:customStyle="1">
    <w:name w:val="Styl Tytuł SST + Z lewej:  0 cm Wysunięcie:  375 cm1"/>
    <w:basedOn w:val="TytuSST"/>
    <w:qFormat/>
    <w:rsid w:val="001871cf"/>
    <w:pPr>
      <w:tabs>
        <w:tab w:val="clear" w:pos="2126"/>
      </w:tabs>
      <w:ind w:left="1701" w:hanging="1701"/>
    </w:pPr>
    <w:rPr>
      <w:rFonts w:cs="Times New Roman"/>
      <w:iCs/>
    </w:rPr>
  </w:style>
  <w:style w:type="paragraph" w:styleId="StylNagwek3NiePogrubienie2" w:customStyle="1">
    <w:name w:val="Styl Nagłówek 3 + Nie Pogrubienie2"/>
    <w:basedOn w:val="Nagwek3"/>
    <w:qFormat/>
    <w:rsid w:val="001871cf"/>
    <w:pPr/>
    <w:rPr>
      <w:b w:val="false"/>
      <w:iCs/>
    </w:rPr>
  </w:style>
  <w:style w:type="paragraph" w:styleId="StylNagwek3NiePogrubieniePrzed12pt" w:customStyle="1">
    <w:name w:val="Styl Nagłówek 3 + Nie Pogrubienie Przed:  12 pt"/>
    <w:basedOn w:val="Nagwek3"/>
    <w:qFormat/>
    <w:rsid w:val="001871cf"/>
    <w:pPr/>
    <w:rPr>
      <w:b w:val="false"/>
      <w:iCs/>
      <w:szCs w:val="20"/>
    </w:rPr>
  </w:style>
  <w:style w:type="paragraph" w:styleId="StylNagwek3NiePogrubienie3" w:customStyle="1">
    <w:name w:val="Styl Nagłówek 3 + Nie Pogrubienie3"/>
    <w:basedOn w:val="Nagwek3"/>
    <w:qFormat/>
    <w:rsid w:val="001871cf"/>
    <w:pPr/>
    <w:rPr>
      <w:b w:val="false"/>
      <w:iCs/>
    </w:rPr>
  </w:style>
  <w:style w:type="paragraph" w:styleId="Default" w:customStyle="1">
    <w:name w:val="Default"/>
    <w:qFormat/>
    <w:rsid w:val="001871cf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pl-PL" w:val="pl-PL" w:bidi="ar-SA"/>
    </w:rPr>
  </w:style>
  <w:style w:type="paragraph" w:styleId="TytuSSTmay" w:customStyle="1">
    <w:name w:val="tytuł SST mały"/>
    <w:basedOn w:val="TytuSST"/>
    <w:qFormat/>
    <w:rsid w:val="001871cf"/>
    <w:pPr>
      <w:tabs>
        <w:tab w:val="clear" w:pos="2126"/>
      </w:tabs>
    </w:pPr>
    <w:rPr>
      <w:b/>
      <w:sz w:val="18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871cf"/>
    <w:pPr/>
    <w:rPr>
      <w:rFonts w:ascii="Segoe UI" w:hAnsi="Segoe UI" w:cs="Segoe UI"/>
      <w:sz w:val="18"/>
      <w:szCs w:val="18"/>
    </w:rPr>
  </w:style>
  <w:style w:type="paragraph" w:styleId="Przypiskocowy">
    <w:name w:val="Endnote Text"/>
    <w:basedOn w:val="Normal"/>
    <w:link w:val="TekstprzypisukocowegoZnak"/>
    <w:semiHidden/>
    <w:rsid w:val="001871cf"/>
    <w:pPr/>
    <w:rPr/>
  </w:style>
  <w:style w:type="paragraph" w:styleId="BodyTextIndent3">
    <w:name w:val="Body Text Indent 3"/>
    <w:basedOn w:val="Normal"/>
    <w:link w:val="Tekstpodstawowywcity3Znak"/>
    <w:qFormat/>
    <w:rsid w:val="001871cf"/>
    <w:pPr>
      <w:ind w:left="709" w:hanging="0"/>
    </w:pPr>
    <w:rPr/>
  </w:style>
  <w:style w:type="paragraph" w:styleId="Styl2" w:customStyle="1">
    <w:name w:val="Styl2"/>
    <w:basedOn w:val="Tretekstu"/>
    <w:next w:val="Standardowytekst"/>
    <w:qFormat/>
    <w:rsid w:val="001871cf"/>
    <w:pPr/>
    <w:rPr/>
  </w:style>
  <w:style w:type="paragraph" w:styleId="Komentarz" w:customStyle="1">
    <w:name w:val="Komentarz"/>
    <w:basedOn w:val="Normal"/>
    <w:qFormat/>
    <w:rsid w:val="001871cf"/>
    <w:pPr/>
    <w:rPr>
      <w:i/>
    </w:rPr>
  </w:style>
  <w:style w:type="paragraph" w:styleId="Technical4" w:customStyle="1">
    <w:name w:val="Technical 4"/>
    <w:qFormat/>
    <w:rsid w:val="001871cf"/>
    <w:pPr>
      <w:widowControl/>
      <w:tabs>
        <w:tab w:val="clear" w:pos="708"/>
        <w:tab w:val="left" w:pos="-720" w:leader="none"/>
      </w:tabs>
      <w:suppressAutoHyphens w:val="true"/>
      <w:bidi w:val="0"/>
      <w:spacing w:lineRule="auto" w:line="240" w:before="0" w:after="0"/>
      <w:jc w:val="left"/>
    </w:pPr>
    <w:rPr>
      <w:rFonts w:ascii="Courier" w:hAnsi="Courier" w:eastAsia="Times New Roman" w:cs="Times New Roman"/>
      <w:b/>
      <w:color w:val="auto"/>
      <w:kern w:val="0"/>
      <w:sz w:val="24"/>
      <w:szCs w:val="20"/>
      <w:lang w:val="en-US" w:eastAsia="pl-PL" w:bidi="ar-SA"/>
    </w:rPr>
  </w:style>
  <w:style w:type="paragraph" w:styleId="Spistreci1">
    <w:name w:val="TOC 1"/>
    <w:basedOn w:val="Normal"/>
    <w:next w:val="Normal"/>
    <w:autoRedefine/>
    <w:uiPriority w:val="99"/>
    <w:rsid w:val="001871cf"/>
    <w:pPr>
      <w:tabs>
        <w:tab w:val="clear" w:pos="708"/>
        <w:tab w:val="right" w:pos="9047" w:leader="dot"/>
      </w:tabs>
      <w:spacing w:lineRule="auto" w:line="360"/>
    </w:pPr>
    <w:rPr>
      <w:b/>
    </w:rPr>
  </w:style>
  <w:style w:type="paragraph" w:styleId="Spistreci2">
    <w:name w:val="TOC 2"/>
    <w:basedOn w:val="Normal"/>
    <w:next w:val="Normal"/>
    <w:autoRedefine/>
    <w:uiPriority w:val="99"/>
    <w:rsid w:val="001871cf"/>
    <w:pPr>
      <w:spacing w:lineRule="auto" w:line="360"/>
      <w:ind w:left="731" w:hanging="0"/>
      <w:outlineLvl w:val="1"/>
    </w:pPr>
    <w:rPr>
      <w:b/>
    </w:rPr>
  </w:style>
  <w:style w:type="paragraph" w:styleId="Spistreci3">
    <w:name w:val="TOC 3"/>
    <w:basedOn w:val="Normal"/>
    <w:next w:val="Normal"/>
    <w:autoRedefine/>
    <w:uiPriority w:val="99"/>
    <w:semiHidden/>
    <w:rsid w:val="001871cf"/>
    <w:pPr>
      <w:spacing w:lineRule="auto" w:line="360"/>
      <w:ind w:left="731" w:hanging="0"/>
      <w:outlineLvl w:val="2"/>
    </w:pPr>
    <w:rPr/>
  </w:style>
  <w:style w:type="paragraph" w:styleId="Spistreci4">
    <w:name w:val="TOC 4"/>
    <w:basedOn w:val="Normal"/>
    <w:next w:val="Normal"/>
    <w:autoRedefine/>
    <w:uiPriority w:val="99"/>
    <w:semiHidden/>
    <w:rsid w:val="001871cf"/>
    <w:pPr>
      <w:spacing w:lineRule="auto" w:line="360"/>
      <w:ind w:left="731" w:hanging="0"/>
      <w:outlineLvl w:val="3"/>
    </w:pPr>
    <w:rPr/>
  </w:style>
  <w:style w:type="paragraph" w:styleId="Spistreci5">
    <w:name w:val="TOC 5"/>
    <w:basedOn w:val="Normal"/>
    <w:next w:val="Normal"/>
    <w:autoRedefine/>
    <w:semiHidden/>
    <w:rsid w:val="001871cf"/>
    <w:pPr>
      <w:ind w:left="960" w:hanging="0"/>
    </w:pPr>
    <w:rPr>
      <w:sz w:val="18"/>
    </w:rPr>
  </w:style>
  <w:style w:type="paragraph" w:styleId="Spistreci6">
    <w:name w:val="TOC 6"/>
    <w:basedOn w:val="Normal"/>
    <w:next w:val="Normal"/>
    <w:autoRedefine/>
    <w:semiHidden/>
    <w:rsid w:val="001871cf"/>
    <w:pPr>
      <w:ind w:left="1200" w:hanging="0"/>
    </w:pPr>
    <w:rPr>
      <w:sz w:val="18"/>
    </w:rPr>
  </w:style>
  <w:style w:type="paragraph" w:styleId="Spistreci7">
    <w:name w:val="TOC 7"/>
    <w:basedOn w:val="Normal"/>
    <w:next w:val="Normal"/>
    <w:autoRedefine/>
    <w:semiHidden/>
    <w:rsid w:val="001871cf"/>
    <w:pPr>
      <w:ind w:left="1440" w:hanging="0"/>
    </w:pPr>
    <w:rPr>
      <w:sz w:val="18"/>
    </w:rPr>
  </w:style>
  <w:style w:type="paragraph" w:styleId="Spistreci8">
    <w:name w:val="TOC 8"/>
    <w:basedOn w:val="Normal"/>
    <w:next w:val="Normal"/>
    <w:autoRedefine/>
    <w:semiHidden/>
    <w:rsid w:val="001871cf"/>
    <w:pPr>
      <w:ind w:left="1680" w:hanging="0"/>
    </w:pPr>
    <w:rPr>
      <w:sz w:val="18"/>
    </w:rPr>
  </w:style>
  <w:style w:type="paragraph" w:styleId="Spistreci9">
    <w:name w:val="TOC 9"/>
    <w:basedOn w:val="Normal"/>
    <w:next w:val="Normal"/>
    <w:autoRedefine/>
    <w:semiHidden/>
    <w:rsid w:val="001871cf"/>
    <w:pPr>
      <w:ind w:left="1920" w:hanging="0"/>
    </w:pPr>
    <w:rPr>
      <w:sz w:val="18"/>
    </w:rPr>
  </w:style>
  <w:style w:type="paragraph" w:styleId="Lista3">
    <w:name w:val="List Bullet 4"/>
    <w:basedOn w:val="Normal"/>
    <w:rsid w:val="001871cf"/>
    <w:pPr>
      <w:ind w:left="849" w:hanging="283"/>
    </w:pPr>
    <w:rPr/>
  </w:style>
  <w:style w:type="paragraph" w:styleId="Lista4">
    <w:name w:val="List Bullet 5"/>
    <w:basedOn w:val="Normal"/>
    <w:rsid w:val="001871cf"/>
    <w:pPr>
      <w:ind w:left="1132" w:hanging="283"/>
    </w:pPr>
    <w:rPr/>
  </w:style>
  <w:style w:type="paragraph" w:styleId="ListContinue">
    <w:name w:val="List Continue"/>
    <w:basedOn w:val="Normal"/>
    <w:qFormat/>
    <w:rsid w:val="001871cf"/>
    <w:pPr>
      <w:spacing w:before="0" w:after="120"/>
      <w:ind w:left="283" w:hanging="0"/>
    </w:pPr>
    <w:rPr/>
  </w:style>
  <w:style w:type="paragraph" w:styleId="Tekstpodstawowy21" w:customStyle="1">
    <w:name w:val="Tekst podstawowy 21"/>
    <w:basedOn w:val="Normal"/>
    <w:qFormat/>
    <w:rsid w:val="001871cf"/>
    <w:pPr/>
    <w:rPr>
      <w:b/>
      <w:sz w:val="28"/>
    </w:rPr>
  </w:style>
  <w:style w:type="paragraph" w:styleId="Tekstpodstawowy31" w:customStyle="1">
    <w:name w:val="Tekst podstawowy 31"/>
    <w:basedOn w:val="Normal"/>
    <w:qFormat/>
    <w:rsid w:val="001871cf"/>
    <w:pPr/>
    <w:rPr>
      <w:b/>
      <w:sz w:val="28"/>
    </w:rPr>
  </w:style>
  <w:style w:type="paragraph" w:styleId="Style5" w:customStyle="1">
    <w:name w:val="Ś"/>
    <w:basedOn w:val="Stopka"/>
    <w:qFormat/>
    <w:rsid w:val="001871cf"/>
    <w:pPr>
      <w:tabs>
        <w:tab w:val="clear" w:pos="4536"/>
        <w:tab w:val="clear" w:pos="9072"/>
      </w:tabs>
      <w:spacing w:before="40" w:after="0"/>
      <w:jc w:val="right"/>
    </w:pPr>
    <w:rPr>
      <w:i/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1871cf"/>
    <w:pPr>
      <w:tabs>
        <w:tab w:val="clear" w:pos="708"/>
        <w:tab w:val="left" w:pos="291" w:leader="none"/>
        <w:tab w:val="left" w:pos="723" w:leader="none"/>
        <w:tab w:val="left" w:pos="1560" w:leader="none"/>
      </w:tabs>
      <w:ind w:left="1560" w:hanging="405"/>
    </w:pPr>
    <w:rPr/>
  </w:style>
  <w:style w:type="paragraph" w:styleId="Annotationtext">
    <w:name w:val="annotation text"/>
    <w:basedOn w:val="Normal"/>
    <w:link w:val="TekstkomentarzaZnak"/>
    <w:semiHidden/>
    <w:qFormat/>
    <w:rsid w:val="001871cf"/>
    <w:pPr/>
    <w:rPr/>
  </w:style>
  <w:style w:type="paragraph" w:styleId="Tytu" w:customStyle="1">
    <w:name w:val="tytuł"/>
    <w:qFormat/>
    <w:rsid w:val="001871cf"/>
    <w:pPr>
      <w:widowControl/>
      <w:bidi w:val="0"/>
      <w:spacing w:lineRule="atLeast" w:line="360" w:before="0" w:after="0"/>
      <w:jc w:val="center"/>
    </w:pPr>
    <w:rPr>
      <w:rFonts w:ascii="TimesEE" w:hAnsi="TimesEE" w:eastAsia="Times New Roman" w:cs="Times New Roman"/>
      <w:b/>
      <w:color w:val="000000"/>
      <w:kern w:val="0"/>
      <w:sz w:val="24"/>
      <w:szCs w:val="20"/>
      <w:lang w:eastAsia="pl-PL" w:val="pl-PL" w:bidi="ar-SA"/>
    </w:rPr>
  </w:style>
  <w:style w:type="paragraph" w:styleId="StylNagwek1Po0pt" w:customStyle="1">
    <w:name w:val="Styl Nagłówek 1 + Po:  0 pt"/>
    <w:basedOn w:val="Nagwek1"/>
    <w:link w:val="StylNagwek1Po0ptZnak"/>
    <w:qFormat/>
    <w:rsid w:val="001871cf"/>
    <w:pPr>
      <w:tabs>
        <w:tab w:val="clear" w:pos="708"/>
        <w:tab w:val="left" w:pos="397" w:leader="none"/>
      </w:tabs>
      <w:spacing w:before="600" w:after="60"/>
      <w:ind w:left="397" w:hanging="397"/>
    </w:pPr>
    <w:rPr>
      <w:bCs w:val="false"/>
    </w:rPr>
  </w:style>
  <w:style w:type="paragraph" w:styleId="Nagwek2Pogrubienie" w:customStyle="1">
    <w:name w:val="Nagłówek 2 + Pogrubienie"/>
    <w:basedOn w:val="Nagwek2"/>
    <w:qFormat/>
    <w:rsid w:val="001871cf"/>
    <w:pPr>
      <w:tabs>
        <w:tab w:val="clear" w:pos="708"/>
        <w:tab w:val="left" w:pos="397" w:leader="none"/>
      </w:tabs>
      <w:ind w:left="397" w:hanging="397"/>
    </w:pPr>
    <w:rPr>
      <w:b w:val="false"/>
      <w:bCs w:val="false"/>
    </w:rPr>
  </w:style>
  <w:style w:type="paragraph" w:styleId="Mylnik" w:customStyle="1">
    <w:name w:val="Myślnik"/>
    <w:basedOn w:val="Normal"/>
    <w:qFormat/>
    <w:rsid w:val="001871cf"/>
    <w:pPr/>
    <w:rPr/>
  </w:style>
  <w:style w:type="paragraph" w:styleId="Mylnik1" w:customStyle="1">
    <w:name w:val="Myślnik 1"/>
    <w:basedOn w:val="Mylnik"/>
    <w:qFormat/>
    <w:rsid w:val="001871cf"/>
    <w:pPr>
      <w:spacing w:before="120" w:after="0"/>
    </w:pPr>
    <w:rPr/>
  </w:style>
  <w:style w:type="paragraph" w:styleId="StylZlewej0cmWysunicie2cmInterliniaConajmniej1" w:customStyle="1">
    <w:name w:val="Styl Z lewej:  0 cm Wysunięcie:  2 cm Interlinia:  Co najmniej 1..."/>
    <w:basedOn w:val="Normal"/>
    <w:qFormat/>
    <w:rsid w:val="001871cf"/>
    <w:pPr/>
    <w:rPr/>
  </w:style>
  <w:style w:type="paragraph" w:styleId="StylStylZlewej0cmWysunicie2cmInterliniaConajmnie" w:customStyle="1">
    <w:name w:val="Styl Styl Z lewej:  0 cm Wysunięcie:  2 cm Interlinia:  Co najmnie..."/>
    <w:basedOn w:val="StylZlewej0cmWysunicie2cmInterliniaConajmniej1"/>
    <w:qFormat/>
    <w:rsid w:val="001871cf"/>
    <w:pPr>
      <w:ind w:firstLine="851"/>
    </w:pPr>
    <w:rPr>
      <w:b/>
      <w:bCs/>
    </w:rPr>
  </w:style>
  <w:style w:type="paragraph" w:styleId="Normalny12" w:customStyle="1">
    <w:name w:val="Normalny 12"/>
    <w:basedOn w:val="Normal"/>
    <w:link w:val="Normalny12Znak"/>
    <w:qFormat/>
    <w:rsid w:val="001871cf"/>
    <w:pPr>
      <w:tabs>
        <w:tab w:val="clear" w:pos="708"/>
        <w:tab w:val="left" w:pos="3" w:leader="none"/>
        <w:tab w:val="left" w:pos="147" w:leader="none"/>
        <w:tab w:val="left" w:pos="291" w:leader="none"/>
        <w:tab w:val="left" w:pos="723" w:leader="none"/>
        <w:tab w:val="left" w:pos="867" w:leader="none"/>
        <w:tab w:val="left" w:pos="1011" w:leader="none"/>
      </w:tabs>
      <w:spacing w:before="240" w:after="0"/>
    </w:pPr>
    <w:rPr>
      <w:b/>
    </w:rPr>
  </w:style>
  <w:style w:type="paragraph" w:styleId="Revision">
    <w:name w:val="Revision"/>
    <w:basedOn w:val="Normal"/>
    <w:next w:val="Normal"/>
    <w:qFormat/>
    <w:rsid w:val="001871cf"/>
    <w:pPr>
      <w:tabs>
        <w:tab w:val="clear" w:pos="708"/>
        <w:tab w:val="left" w:pos="723" w:leader="none"/>
      </w:tabs>
      <w:spacing w:before="240" w:after="0"/>
      <w:ind w:left="1009" w:hanging="1009"/>
    </w:pPr>
    <w:rPr/>
  </w:style>
  <w:style w:type="paragraph" w:styleId="StylDolewejInterlinia15wiersza" w:customStyle="1">
    <w:name w:val="Styl Do lewej Interlinia:  15 wiersza"/>
    <w:basedOn w:val="Normal"/>
    <w:qFormat/>
    <w:rsid w:val="001871cf"/>
    <w:pPr>
      <w:spacing w:lineRule="auto" w:line="360"/>
    </w:pPr>
    <w:rPr/>
  </w:style>
  <w:style w:type="paragraph" w:styleId="Normal0" w:customStyle="1">
    <w:name w:val="normal 0"/>
    <w:basedOn w:val="Normal"/>
    <w:qFormat/>
    <w:rsid w:val="001871cf"/>
    <w:pPr/>
    <w:rPr/>
  </w:style>
  <w:style w:type="paragraph" w:styleId="StylNormalny1210ptNiePogrubienie" w:customStyle="1">
    <w:name w:val="Styl Normalny 12 + 10 pt Nie Pogrubienie"/>
    <w:basedOn w:val="Normalny12"/>
    <w:link w:val="StylNormalny1210ptNiePogrubienieZnak"/>
    <w:qFormat/>
    <w:rsid w:val="001871cf"/>
    <w:pPr>
      <w:tabs>
        <w:tab w:val="clear" w:pos="3"/>
        <w:tab w:val="clear" w:pos="147"/>
        <w:tab w:val="clear" w:pos="723"/>
        <w:tab w:val="clear" w:pos="1011"/>
        <w:tab w:val="left" w:pos="291" w:leader="none"/>
        <w:tab w:val="left" w:pos="867" w:leader="none"/>
        <w:tab w:val="left" w:pos="1985" w:leader="none"/>
      </w:tabs>
    </w:pPr>
    <w:rPr>
      <w:rFonts w:ascii="Calibri" w:hAnsi="Calibri" w:eastAsia="Calibri" w:asciiTheme="minorHAnsi" w:eastAsiaTheme="minorHAnsi" w:hAnsiTheme="minorHAnsi"/>
      <w:bCs/>
      <w:iCs/>
      <w:sz w:val="22"/>
      <w:szCs w:val="24"/>
    </w:rPr>
  </w:style>
  <w:style w:type="paragraph" w:styleId="Tekstost1" w:customStyle="1">
    <w:name w:val="tekstost"/>
    <w:basedOn w:val="Normal"/>
    <w:qFormat/>
    <w:rsid w:val="001871cf"/>
    <w:pPr>
      <w:spacing w:beforeAutospacing="1" w:afterAutospacing="1"/>
    </w:pPr>
    <w:rPr>
      <w:rFonts w:cs="Times New Roman"/>
      <w:bCs/>
      <w:iCs/>
      <w:sz w:val="24"/>
    </w:rPr>
  </w:style>
  <w:style w:type="paragraph" w:styleId="Normalny31" w:customStyle="1">
    <w:name w:val="normalny3"/>
    <w:basedOn w:val="Normal"/>
    <w:qFormat/>
    <w:rsid w:val="001871cf"/>
    <w:pPr>
      <w:spacing w:beforeAutospacing="1" w:afterAutospacing="1"/>
    </w:pPr>
    <w:rPr>
      <w:rFonts w:cs="Times New Roman"/>
      <w:bCs/>
      <w:iCs/>
      <w:sz w:val="24"/>
    </w:rPr>
  </w:style>
  <w:style w:type="paragraph" w:styleId="StylTytuSSTPogrubienie" w:customStyle="1">
    <w:name w:val="Styl Tytuł SST + Pogrubienie"/>
    <w:basedOn w:val="TytuSST"/>
    <w:qFormat/>
    <w:rsid w:val="001871cf"/>
    <w:pPr>
      <w:spacing w:before="60" w:after="240"/>
    </w:pPr>
    <w:rPr>
      <w:b/>
      <w:iCs/>
    </w:rPr>
  </w:style>
  <w:style w:type="paragraph" w:styleId="Tabelarodek" w:customStyle="1">
    <w:name w:val="Tabela środek"/>
    <w:basedOn w:val="Normal"/>
    <w:qFormat/>
    <w:rsid w:val="001871cf"/>
    <w:pPr>
      <w:spacing w:before="20" w:after="20"/>
      <w:jc w:val="center"/>
    </w:pPr>
    <w:rPr>
      <w:rFonts w:cs="Times New Roman"/>
      <w:bCs/>
      <w:iCs/>
      <w:sz w:val="18"/>
    </w:rPr>
  </w:style>
  <w:style w:type="paragraph" w:styleId="Annotationsubject">
    <w:name w:val="annotation subject"/>
    <w:basedOn w:val="Annotationtext"/>
    <w:next w:val="Annotationtext"/>
    <w:link w:val="TematkomentarzaZnak"/>
    <w:semiHidden/>
    <w:qFormat/>
    <w:rsid w:val="001871cf"/>
    <w:pPr/>
    <w:rPr>
      <w:b/>
    </w:rPr>
  </w:style>
  <w:style w:type="paragraph" w:styleId="Podpkt11" w:customStyle="1">
    <w:name w:val="pod_pkt1.1"/>
    <w:basedOn w:val="Normal"/>
    <w:autoRedefine/>
    <w:qFormat/>
    <w:rsid w:val="001871cf"/>
    <w:pPr>
      <w:keepNext w:val="true"/>
      <w:overflowPunct w:val="true"/>
      <w:textAlignment w:val="baseline"/>
    </w:pPr>
    <w:rPr>
      <w:rFonts w:cs="Times New Roman"/>
      <w:iCs/>
      <w:sz w:val="24"/>
    </w:rPr>
  </w:style>
  <w:style w:type="paragraph" w:styleId="ListParagraph">
    <w:name w:val="List Paragraph"/>
    <w:basedOn w:val="Normal"/>
    <w:uiPriority w:val="34"/>
    <w:qFormat/>
    <w:rsid w:val="001871cf"/>
    <w:pPr>
      <w:spacing w:before="0" w:after="0"/>
      <w:ind w:left="720" w:hanging="0"/>
      <w:contextualSpacing/>
    </w:pPr>
    <w:rPr/>
  </w:style>
  <w:style w:type="paragraph" w:styleId="PKT1" w:customStyle="1">
    <w:name w:val="#PKT 1"/>
    <w:basedOn w:val="Normal"/>
    <w:link w:val="PKT1Znak"/>
    <w:autoRedefine/>
    <w:qFormat/>
    <w:rsid w:val="001871cf"/>
    <w:pPr>
      <w:keepNext w:val="true"/>
      <w:widowControl/>
      <w:spacing w:before="120" w:after="240"/>
      <w:ind w:left="567" w:hanging="567"/>
      <w:outlineLvl w:val="1"/>
    </w:pPr>
    <w:rPr>
      <w:rFonts w:eastAsia="Batang" w:cs="Times New Roman"/>
      <w:b/>
    </w:rPr>
  </w:style>
  <w:style w:type="paragraph" w:styleId="PKT2" w:customStyle="1">
    <w:name w:val="#PKT 2"/>
    <w:basedOn w:val="Normal"/>
    <w:link w:val="PKT2Znak"/>
    <w:autoRedefine/>
    <w:qFormat/>
    <w:rsid w:val="00bb06df"/>
    <w:pPr>
      <w:widowControl/>
      <w:spacing w:lineRule="auto" w:line="276" w:before="120" w:after="120"/>
      <w:ind w:left="709" w:hanging="709"/>
      <w:jc w:val="both"/>
      <w:outlineLvl w:val="1"/>
    </w:pPr>
    <w:rPr>
      <w:rFonts w:eastAsia="Batang" w:cs="Times New Roman"/>
      <w:b/>
      <w:szCs w:val="24"/>
    </w:rPr>
  </w:style>
  <w:style w:type="paragraph" w:styleId="PKT3" w:customStyle="1">
    <w:name w:val="#PKT 3"/>
    <w:basedOn w:val="ListParagraph"/>
    <w:next w:val="PKT1"/>
    <w:autoRedefine/>
    <w:qFormat/>
    <w:rsid w:val="00bb06df"/>
    <w:pPr>
      <w:widowControl/>
      <w:spacing w:before="120" w:after="240"/>
      <w:ind w:left="1134" w:hanging="774"/>
      <w:jc w:val="both"/>
    </w:pPr>
    <w:rPr>
      <w:rFonts w:eastAsia="Calibri" w:cs="Times New Roman"/>
      <w:b/>
      <w:szCs w:val="22"/>
      <w:lang w:eastAsia="en-US"/>
    </w:rPr>
  </w:style>
  <w:style w:type="paragraph" w:styleId="PKT4" w:customStyle="1">
    <w:name w:val="#PKT 4"/>
    <w:basedOn w:val="Normal"/>
    <w:uiPriority w:val="99"/>
    <w:qFormat/>
    <w:rsid w:val="001871cf"/>
    <w:pPr>
      <w:widowControl/>
      <w:tabs>
        <w:tab w:val="clear" w:pos="708"/>
        <w:tab w:val="left" w:pos="-4680" w:leader="none"/>
      </w:tabs>
      <w:spacing w:before="120" w:after="0"/>
      <w:jc w:val="both"/>
    </w:pPr>
    <w:rPr>
      <w:rFonts w:cs="Times New Roman"/>
      <w:i/>
      <w:szCs w:val="22"/>
      <w:lang w:eastAsia="en-US"/>
    </w:rPr>
  </w:style>
  <w:style w:type="paragraph" w:styleId="TEKST1Tre" w:customStyle="1">
    <w:name w:val="TEKST_1 Treść"/>
    <w:link w:val="TEKST1TreZnak1"/>
    <w:qFormat/>
    <w:rsid w:val="001871cf"/>
    <w:pPr>
      <w:widowControl/>
      <w:bidi w:val="0"/>
      <w:spacing w:lineRule="auto" w:line="240" w:before="240" w:after="0"/>
      <w:jc w:val="both"/>
    </w:pPr>
    <w:rPr>
      <w:rFonts w:ascii="Arial" w:hAnsi="Arial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PKT0" w:customStyle="1">
    <w:name w:val="#PKT 0"/>
    <w:basedOn w:val="Normal"/>
    <w:link w:val="PKT0Znak"/>
    <w:qFormat/>
    <w:rsid w:val="001871cf"/>
    <w:pPr>
      <w:widowControl/>
      <w:spacing w:lineRule="auto" w:line="360"/>
      <w:ind w:firstLine="697"/>
      <w:outlineLvl w:val="1"/>
    </w:pPr>
    <w:rPr>
      <w:rFonts w:eastAsia="Batang" w:cs="Times New Roman"/>
      <w:b/>
      <w:sz w:val="32"/>
      <w:szCs w:val="28"/>
    </w:rPr>
  </w:style>
  <w:style w:type="paragraph" w:styleId="Wypunktowanie" w:customStyle="1">
    <w:name w:val="#Wypunktowanie"/>
    <w:basedOn w:val="Normal"/>
    <w:qFormat/>
    <w:rsid w:val="001871cf"/>
    <w:pPr>
      <w:widowControl/>
      <w:tabs>
        <w:tab w:val="clear" w:pos="708"/>
        <w:tab w:val="left" w:pos="851" w:leader="none"/>
      </w:tabs>
      <w:ind w:left="453" w:hanging="340"/>
      <w:jc w:val="both"/>
    </w:pPr>
    <w:rPr>
      <w:rFonts w:eastAsia="Batang" w:cs="Times New Roman"/>
    </w:rPr>
  </w:style>
  <w:style w:type="paragraph" w:styleId="DocumentMap">
    <w:name w:val="Document Map"/>
    <w:basedOn w:val="Normal"/>
    <w:link w:val="PlandokumentuZnak"/>
    <w:uiPriority w:val="99"/>
    <w:semiHidden/>
    <w:qFormat/>
    <w:rsid w:val="001871cf"/>
    <w:pPr>
      <w:shd w:val="clear" w:color="auto" w:fill="000080"/>
    </w:pPr>
    <w:rPr>
      <w:rFonts w:ascii="Tahoma" w:hAnsi="Tahoma" w:cs="Tahoma"/>
    </w:rPr>
  </w:style>
  <w:style w:type="paragraph" w:styleId="TOCHeading">
    <w:name w:val="TOC Heading"/>
    <w:basedOn w:val="Nagwek1"/>
    <w:next w:val="Normal"/>
    <w:uiPriority w:val="99"/>
    <w:qFormat/>
    <w:rsid w:val="001871cf"/>
    <w:pPr>
      <w:keepLines/>
      <w:widowControl/>
      <w:spacing w:lineRule="auto" w:line="360" w:before="0" w:after="0"/>
      <w:jc w:val="center"/>
    </w:pPr>
    <w:rPr>
      <w:rFonts w:ascii="Arial" w:hAnsi="Arial"/>
      <w:bCs w:val="false"/>
      <w:kern w:val="0"/>
      <w:sz w:val="20"/>
    </w:rPr>
  </w:style>
  <w:style w:type="paragraph" w:styleId="Tytu1">
    <w:name w:val="Title"/>
    <w:basedOn w:val="Normal"/>
    <w:next w:val="Normal"/>
    <w:link w:val="TytuZnak"/>
    <w:uiPriority w:val="99"/>
    <w:qFormat/>
    <w:rsid w:val="001871cf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"/>
      <w:sz w:val="32"/>
      <w:szCs w:val="32"/>
    </w:rPr>
  </w:style>
  <w:style w:type="numbering" w:styleId="NoList" w:default="1">
    <w:name w:val="No List"/>
    <w:uiPriority w:val="99"/>
    <w:semiHidden/>
    <w:unhideWhenUsed/>
    <w:qFormat/>
  </w:style>
  <w:style w:type="numbering" w:styleId="StylPunktowane" w:customStyle="1">
    <w:name w:val="Styl Punktowane"/>
    <w:qFormat/>
    <w:rsid w:val="001871cf"/>
  </w:style>
  <w:style w:type="numbering" w:styleId="Punktowane2" w:customStyle="1">
    <w:name w:val="Punktowane2"/>
    <w:qFormat/>
    <w:rsid w:val="001871cf"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1871cf"/>
    <w:pPr>
      <w:spacing w:before="120" w:after="0" w:line="240" w:lineRule="auto"/>
      <w:jc w:val="both"/>
    </w:pPr>
    <w:rPr>
      <w:lang w:eastAsia="pl-PL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wmf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Application>LibreOffice/6.4.4.2$Windows_X86_64 LibreOffice_project/3d775be2011f3886db32dfd395a6a6d1ca2630ff</Application>
  <Pages>14</Pages>
  <Words>4187</Words>
  <Characters>27703</Characters>
  <CharactersWithSpaces>31491</CharactersWithSpaces>
  <Paragraphs>451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2019-02-12T08:35:00Z</dcterms:created>
  <dc:creator>Pakulniewicz, Anna</dc:creator>
  <dc:description/>
  <dc:language>pl-PL</dc:language>
  <cp:lastModifiedBy/>
  <dcterms:modified xsi:type="dcterms:W3CDTF">2020-06-17T13:17:58Z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